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EF" w:rsidRDefault="00D55BEF" w:rsidP="00950C7B">
      <w:pPr>
        <w:pStyle w:val="FootnoteText"/>
        <w:rPr>
          <w:noProof/>
          <w:color w:val="000000"/>
        </w:rPr>
      </w:pPr>
    </w:p>
    <w:p w:rsidR="00950C7B" w:rsidRDefault="002747EE" w:rsidP="00950C7B">
      <w:pPr>
        <w:pStyle w:val="FootnoteText"/>
        <w:rPr>
          <w:noProof/>
          <w:color w:val="000000"/>
        </w:rPr>
      </w:pPr>
      <w:r w:rsidRPr="002747EE">
        <w:rPr>
          <w:noProof/>
        </w:rPr>
        <w:pict>
          <v:rect id="_x0000_s1027" style="position:absolute;margin-left:-36pt;margin-top:11.3pt;width:496.85pt;height:1in;z-index:-251662336" fillcolor="blue" strokecolor="navy" strokeweight="2pt"/>
        </w:pict>
      </w:r>
    </w:p>
    <w:p w:rsidR="00950C7B" w:rsidRDefault="007D35CA" w:rsidP="00950C7B">
      <w:pPr>
        <w:pStyle w:val="Heading1"/>
        <w:framePr w:w="5948" w:h="878" w:hSpace="181" w:wrap="around" w:x="4759" w:y="282"/>
        <w:rPr>
          <w:sz w:val="64"/>
        </w:rPr>
      </w:pPr>
      <w:r>
        <w:rPr>
          <w:sz w:val="64"/>
        </w:rPr>
        <w:t xml:space="preserve">MEDIA </w:t>
      </w:r>
      <w:r w:rsidR="00950C7B">
        <w:rPr>
          <w:sz w:val="64"/>
        </w:rPr>
        <w:t>RELEASE</w:t>
      </w:r>
    </w:p>
    <w:p w:rsidR="00950C7B" w:rsidRDefault="002747EE" w:rsidP="00950C7B">
      <w:pPr>
        <w:pStyle w:val="FootnoteText"/>
        <w:rPr>
          <w:b/>
          <w:noProof/>
          <w:color w:val="000000"/>
          <w:sz w:val="36"/>
        </w:rPr>
      </w:pPr>
      <w:r w:rsidRPr="002747EE">
        <w:rPr>
          <w:noProof/>
          <w:color w:val="000000"/>
        </w:rPr>
        <w:pict>
          <v:line id="_x0000_s1032" style="position:absolute;z-index:-251657216" from="-6.25pt,15.7pt" to="80.15pt,15.7pt" strokecolor="white"/>
        </w:pict>
      </w:r>
      <w:r w:rsidRPr="002747EE">
        <w:rPr>
          <w:noProof/>
          <w:color w:val="000000"/>
        </w:rPr>
        <w:pict>
          <v:rect id="_x0000_s1031" style="position:absolute;margin-left:58.85pt;margin-top:18.35pt;width:21.6pt;height:21.6pt;z-index:-251658240" fillcolor="blue" strokecolor="white"/>
        </w:pict>
      </w:r>
      <w:r w:rsidRPr="002747EE">
        <w:rPr>
          <w:noProof/>
          <w:color w:val="000000"/>
        </w:rPr>
        <w:pict>
          <v:rect id="_x0000_s1030" style="position:absolute;margin-left:15.65pt;margin-top:18.35pt;width:21.6pt;height:21.6pt;z-index:-251659264" fillcolor="blue" strokecolor="white"/>
        </w:pict>
      </w:r>
      <w:r w:rsidRPr="002747EE">
        <w:rPr>
          <w:noProof/>
          <w:color w:val="000000"/>
        </w:rPr>
        <w:pict>
          <v:rect id="_x0000_s1029" style="position:absolute;margin-left:37.25pt;margin-top:18.35pt;width:21.6pt;height:21.6pt;z-index:-251660288" fillcolor="blue" strokecolor="white"/>
        </w:pict>
      </w:r>
      <w:r w:rsidRPr="002747EE">
        <w:rPr>
          <w:noProof/>
          <w:color w:val="000000"/>
        </w:rPr>
        <w:pict>
          <v:rect id="_x0000_s1028" style="position:absolute;margin-left:-5.95pt;margin-top:18.35pt;width:21.6pt;height:21.6pt;z-index:-251661312" fillcolor="blue" strokecolor="white"/>
        </w:pict>
      </w:r>
    </w:p>
    <w:p w:rsidR="00966667" w:rsidRDefault="00966667" w:rsidP="00966667">
      <w:pPr>
        <w:pStyle w:val="Caption"/>
        <w:framePr w:w="3232" w:h="369" w:hSpace="181" w:wrap="around" w:x="1440" w:y="567"/>
      </w:pPr>
      <w:smartTag w:uri="urn:schemas-microsoft-com:office:smarttags" w:element="place">
        <w:smartTag w:uri="urn:schemas-microsoft-com:office:smarttags" w:element="country-region">
          <w:r>
            <w:t>Northern Ireland</w:t>
          </w:r>
        </w:smartTag>
      </w:smartTag>
      <w:r>
        <w:t xml:space="preserve"> Audit Office</w:t>
      </w:r>
    </w:p>
    <w:p w:rsidR="00950C7B" w:rsidRPr="00E41752" w:rsidRDefault="002747EE" w:rsidP="00950C7B">
      <w:pPr>
        <w:pStyle w:val="FootnoteText"/>
        <w:rPr>
          <w:b/>
          <w:noProof/>
          <w:color w:val="FFFFFF"/>
          <w:sz w:val="36"/>
          <w:szCs w:val="36"/>
        </w:rPr>
      </w:pPr>
      <w:r>
        <w:rPr>
          <w:b/>
          <w:noProof/>
          <w:color w:val="FFFFFF"/>
          <w:sz w:val="36"/>
          <w:szCs w:val="36"/>
        </w:rPr>
        <w:pict>
          <v:line id="_x0000_s1033" style="position:absolute;z-index:-251656192" from="-5.95pt,21.65pt" to="80.45pt,21.65pt" strokecolor="white"/>
        </w:pict>
      </w:r>
      <w:r w:rsidR="00950C7B" w:rsidRPr="00E41752">
        <w:rPr>
          <w:b/>
          <w:noProof/>
          <w:color w:val="FFFFFF"/>
          <w:sz w:val="36"/>
          <w:szCs w:val="36"/>
        </w:rPr>
        <w:t>N  I   A  O</w:t>
      </w:r>
    </w:p>
    <w:p w:rsidR="00950C7B" w:rsidRDefault="00950C7B" w:rsidP="00950C7B">
      <w:pPr>
        <w:pStyle w:val="FootnoteText"/>
        <w:rPr>
          <w:noProof/>
          <w:color w:val="000000"/>
        </w:rPr>
      </w:pPr>
    </w:p>
    <w:p w:rsidR="00950C7B" w:rsidRDefault="00950C7B" w:rsidP="00950C7B"/>
    <w:p w:rsidR="00C10CE8" w:rsidRDefault="00C10CE8" w:rsidP="00C10CE8">
      <w:pPr>
        <w:rPr>
          <w:rFonts w:ascii="Arial" w:hAnsi="Arial" w:cs="Arial"/>
          <w:b/>
        </w:rPr>
      </w:pPr>
      <w:r w:rsidRPr="00C10CE8">
        <w:rPr>
          <w:rFonts w:ascii="Arial" w:hAnsi="Arial" w:cs="Arial"/>
          <w:b/>
        </w:rPr>
        <w:t>Modernising Benefit Delivery in the Social Security Agency’s local office network</w:t>
      </w:r>
    </w:p>
    <w:p w:rsidR="00C10CE8" w:rsidRPr="00C10CE8" w:rsidRDefault="00C10CE8" w:rsidP="00C10CE8">
      <w:pPr>
        <w:rPr>
          <w:rFonts w:ascii="Arial" w:hAnsi="Arial" w:cs="Arial"/>
          <w:b/>
        </w:rPr>
      </w:pPr>
    </w:p>
    <w:p w:rsidR="00C10CE8" w:rsidRDefault="00C10CE8" w:rsidP="00C10CE8">
      <w:pPr>
        <w:rPr>
          <w:rFonts w:ascii="Arial" w:hAnsi="Arial" w:cs="Arial"/>
          <w:i/>
        </w:rPr>
      </w:pPr>
      <w:r w:rsidRPr="00C10CE8">
        <w:rPr>
          <w:rFonts w:ascii="Arial" w:hAnsi="Arial" w:cs="Arial"/>
          <w:i/>
        </w:rPr>
        <w:t>Future programmes to modernise benefit administration in Northern Ireland must seek to make the system more efficient.</w:t>
      </w:r>
    </w:p>
    <w:p w:rsidR="00C10CE8" w:rsidRPr="00C10CE8" w:rsidRDefault="00C10CE8" w:rsidP="00C10CE8">
      <w:pPr>
        <w:rPr>
          <w:rFonts w:ascii="Arial" w:hAnsi="Arial" w:cs="Arial"/>
          <w:i/>
        </w:rPr>
      </w:pPr>
    </w:p>
    <w:p w:rsidR="00C10CE8" w:rsidRDefault="00C10CE8" w:rsidP="00C10CE8">
      <w:pPr>
        <w:rPr>
          <w:rFonts w:ascii="Arial" w:hAnsi="Arial" w:cs="Arial"/>
          <w:b/>
          <w:i/>
        </w:rPr>
      </w:pPr>
      <w:r w:rsidRPr="00C10CE8">
        <w:rPr>
          <w:rFonts w:ascii="Arial" w:hAnsi="Arial" w:cs="Arial"/>
        </w:rPr>
        <w:t xml:space="preserve">A report published today by the Comptroller and Auditor General highlights areas in which savings could be made in the administration of benefits in Northern Ireland. In 2012-13 the Social Security </w:t>
      </w:r>
      <w:r w:rsidR="00243239">
        <w:rPr>
          <w:rFonts w:ascii="Arial" w:hAnsi="Arial" w:cs="Arial"/>
        </w:rPr>
        <w:t>A</w:t>
      </w:r>
      <w:r w:rsidR="00243239" w:rsidRPr="00C10CE8">
        <w:rPr>
          <w:rFonts w:ascii="Arial" w:hAnsi="Arial" w:cs="Arial"/>
        </w:rPr>
        <w:t xml:space="preserve">gency </w:t>
      </w:r>
      <w:r w:rsidR="00243239">
        <w:rPr>
          <w:rFonts w:ascii="Arial" w:hAnsi="Arial" w:cs="Arial"/>
        </w:rPr>
        <w:t xml:space="preserve">(SSA) </w:t>
      </w:r>
      <w:r w:rsidRPr="00C10CE8">
        <w:rPr>
          <w:rFonts w:ascii="Arial" w:hAnsi="Arial" w:cs="Arial"/>
        </w:rPr>
        <w:t>spent £196</w:t>
      </w:r>
      <w:r w:rsidR="00243239">
        <w:rPr>
          <w:rFonts w:ascii="Arial" w:hAnsi="Arial" w:cs="Arial"/>
        </w:rPr>
        <w:t xml:space="preserve"> </w:t>
      </w:r>
      <w:r w:rsidRPr="00C10CE8">
        <w:rPr>
          <w:rFonts w:ascii="Arial" w:hAnsi="Arial" w:cs="Arial"/>
        </w:rPr>
        <w:t xml:space="preserve">million on benefits administration.  Mr Donnelly said </w:t>
      </w:r>
      <w:r w:rsidRPr="00C10CE8">
        <w:rPr>
          <w:rFonts w:ascii="Arial" w:hAnsi="Arial" w:cs="Arial"/>
          <w:b/>
          <w:i/>
        </w:rPr>
        <w:t>“Whilst the Social Security Agency has implemented a number of Welfare Reform and Modernisation Programmes in recent years, the primary focus of these have been meeting the requirements of legislative and policy change, not the efficiency of benefit administration. In the future, it is important that efficiency considerations are to the fore.”</w:t>
      </w:r>
    </w:p>
    <w:p w:rsidR="00C10CE8" w:rsidRPr="00C10CE8" w:rsidRDefault="00C10CE8" w:rsidP="00C10CE8">
      <w:pPr>
        <w:rPr>
          <w:rFonts w:ascii="Arial" w:hAnsi="Arial" w:cs="Arial"/>
        </w:rPr>
      </w:pPr>
    </w:p>
    <w:p w:rsidR="00C10CE8" w:rsidRDefault="00C10CE8" w:rsidP="00C10CE8">
      <w:pPr>
        <w:rPr>
          <w:rFonts w:ascii="Arial" w:hAnsi="Arial" w:cs="Arial"/>
        </w:rPr>
      </w:pPr>
      <w:r w:rsidRPr="00C10CE8">
        <w:rPr>
          <w:rFonts w:ascii="Arial" w:hAnsi="Arial" w:cs="Arial"/>
        </w:rPr>
        <w:t>Social security benefits paid to claimants in Northern Ireland are not funded from the Northern Ireland block grant. Therefore changes to the demand for benefits do not directly impact on the funding available for other services. The cost of processing these benefits is funded from the Northern Ireland block grant. Any reduction in these costs would generate savings which could be used to improve other services in Northern Ireland.</w:t>
      </w:r>
    </w:p>
    <w:p w:rsidR="00C10CE8" w:rsidRPr="00C10CE8" w:rsidRDefault="00C10CE8" w:rsidP="00C10CE8">
      <w:pPr>
        <w:rPr>
          <w:rFonts w:ascii="Arial" w:hAnsi="Arial" w:cs="Arial"/>
        </w:rPr>
      </w:pPr>
    </w:p>
    <w:p w:rsidR="00C10CE8" w:rsidRPr="00C10CE8" w:rsidRDefault="00C10CE8" w:rsidP="00C10CE8">
      <w:pPr>
        <w:rPr>
          <w:rFonts w:ascii="Arial" w:hAnsi="Arial" w:cs="Arial"/>
          <w:b/>
        </w:rPr>
      </w:pPr>
      <w:r w:rsidRPr="00C10CE8">
        <w:rPr>
          <w:rFonts w:ascii="Arial" w:hAnsi="Arial" w:cs="Arial"/>
          <w:b/>
        </w:rPr>
        <w:t>Key findings</w:t>
      </w:r>
    </w:p>
    <w:p w:rsidR="00C10CE8" w:rsidRPr="00C10CE8" w:rsidRDefault="00C10CE8" w:rsidP="00C10CE8">
      <w:pPr>
        <w:pStyle w:val="ListParagraph"/>
        <w:rPr>
          <w:rFonts w:ascii="Arial" w:hAnsi="Arial" w:cs="Arial"/>
        </w:rPr>
      </w:pPr>
    </w:p>
    <w:p w:rsidR="00C10CE8" w:rsidRPr="00C10CE8" w:rsidRDefault="00C10CE8" w:rsidP="00C10CE8">
      <w:pPr>
        <w:pStyle w:val="ListParagraph"/>
        <w:numPr>
          <w:ilvl w:val="0"/>
          <w:numId w:val="7"/>
        </w:numPr>
        <w:spacing w:after="200" w:line="276" w:lineRule="auto"/>
        <w:rPr>
          <w:rFonts w:ascii="Arial" w:hAnsi="Arial" w:cs="Arial"/>
        </w:rPr>
      </w:pPr>
      <w:r w:rsidRPr="00C10CE8">
        <w:rPr>
          <w:rFonts w:ascii="Arial" w:hAnsi="Arial" w:cs="Arial"/>
        </w:rPr>
        <w:t>The Jobs and Benefits Office Project (2001-2011) co-located 27 Social Security Offices (from the SSA) and 27 Jobcentres (from the Department for Employment and Learning). The report found that the project closed prematurely in 2011, having completed 27 out of a planned 35 Jobs and Benefits Offices. The total capital cost for the 27 completed Offices was £60 million, £17 million more than the £43 million originally estimated to complete all 35 Offices.</w:t>
      </w:r>
    </w:p>
    <w:p w:rsidR="00C10CE8" w:rsidRPr="00C10CE8" w:rsidRDefault="00C10CE8" w:rsidP="00C10CE8">
      <w:pPr>
        <w:pStyle w:val="ListParagraph"/>
        <w:rPr>
          <w:rFonts w:ascii="Arial" w:hAnsi="Arial" w:cs="Arial"/>
        </w:rPr>
      </w:pPr>
    </w:p>
    <w:p w:rsidR="00C10CE8" w:rsidRPr="00C10CE8" w:rsidRDefault="00C10CE8" w:rsidP="00C10CE8">
      <w:pPr>
        <w:pStyle w:val="ListParagraph"/>
        <w:numPr>
          <w:ilvl w:val="0"/>
          <w:numId w:val="7"/>
        </w:numPr>
        <w:spacing w:after="200" w:line="276" w:lineRule="auto"/>
        <w:rPr>
          <w:rFonts w:ascii="Arial" w:hAnsi="Arial" w:cs="Arial"/>
        </w:rPr>
      </w:pPr>
      <w:r w:rsidRPr="00C10CE8">
        <w:rPr>
          <w:rFonts w:ascii="Arial" w:hAnsi="Arial" w:cs="Arial"/>
        </w:rPr>
        <w:t>The Customer First Project (2006-2013) consolidated back office benefit processing into 16 Benefit Processing Centres. The report concludes, however, that fewer processing centres could have enabled further administrative efficiencies to be achieved through greater economies of scale.</w:t>
      </w:r>
    </w:p>
    <w:p w:rsidR="00C10CE8" w:rsidRPr="00C10CE8" w:rsidRDefault="00C10CE8" w:rsidP="00C10CE8">
      <w:pPr>
        <w:pStyle w:val="ListParagraph"/>
        <w:rPr>
          <w:rFonts w:ascii="Arial" w:hAnsi="Arial" w:cs="Arial"/>
        </w:rPr>
      </w:pPr>
    </w:p>
    <w:p w:rsidR="00C10CE8" w:rsidRPr="00C10CE8" w:rsidRDefault="00C10CE8" w:rsidP="00C10CE8">
      <w:pPr>
        <w:pStyle w:val="ListParagraph"/>
        <w:numPr>
          <w:ilvl w:val="0"/>
          <w:numId w:val="7"/>
        </w:numPr>
        <w:spacing w:after="200" w:line="276" w:lineRule="auto"/>
        <w:rPr>
          <w:rFonts w:ascii="Arial" w:hAnsi="Arial" w:cs="Arial"/>
        </w:rPr>
      </w:pPr>
      <w:r w:rsidRPr="00C10CE8">
        <w:rPr>
          <w:rFonts w:ascii="Arial" w:hAnsi="Arial" w:cs="Arial"/>
        </w:rPr>
        <w:t xml:space="preserve">The Belfast Benefit Delivery Centre, run by SSA but providing benefit processing services for benefit claimants in London, already processes benefit claims more efficiently than the current local office network. The </w:t>
      </w:r>
      <w:r w:rsidRPr="00C10CE8">
        <w:rPr>
          <w:rFonts w:ascii="Arial" w:hAnsi="Arial" w:cs="Arial"/>
        </w:rPr>
        <w:lastRenderedPageBreak/>
        <w:t>report concludes that SSA use this to benchmark their processing of Northern Ireland benefits.</w:t>
      </w:r>
    </w:p>
    <w:p w:rsidR="00C10CE8" w:rsidRPr="00C10CE8" w:rsidRDefault="00C10CE8" w:rsidP="00C10CE8">
      <w:pPr>
        <w:pStyle w:val="ListParagraph"/>
        <w:rPr>
          <w:rFonts w:ascii="Arial" w:hAnsi="Arial" w:cs="Arial"/>
        </w:rPr>
      </w:pPr>
    </w:p>
    <w:p w:rsidR="00C10CE8" w:rsidRPr="00C10CE8" w:rsidRDefault="00C10CE8" w:rsidP="00C10CE8">
      <w:pPr>
        <w:pStyle w:val="ListParagraph"/>
        <w:numPr>
          <w:ilvl w:val="0"/>
          <w:numId w:val="7"/>
        </w:numPr>
        <w:spacing w:after="200" w:line="276" w:lineRule="auto"/>
        <w:rPr>
          <w:rFonts w:ascii="Arial" w:hAnsi="Arial" w:cs="Arial"/>
        </w:rPr>
      </w:pPr>
      <w:r w:rsidRPr="00C10CE8">
        <w:rPr>
          <w:rFonts w:ascii="Arial" w:hAnsi="Arial" w:cs="Arial"/>
        </w:rPr>
        <w:t xml:space="preserve">The report considers how the implementation of Universal Credit, which consolidates six existing benefits into a single benefit, would offer SSA a significant opportunity to focus on improving the efficiency of their benefit administration and to make significant savings in the administration of benefits over the longer term. These savings will arise from a reduction in the numbers of staff required to administer Universal Credit. </w:t>
      </w:r>
    </w:p>
    <w:p w:rsidR="00C10CE8" w:rsidRPr="00C10CE8" w:rsidRDefault="00C10CE8" w:rsidP="00C10CE8">
      <w:pPr>
        <w:pStyle w:val="ListParagraph"/>
        <w:rPr>
          <w:rFonts w:ascii="Arial" w:hAnsi="Arial" w:cs="Arial"/>
        </w:rPr>
      </w:pPr>
    </w:p>
    <w:p w:rsidR="00C10CE8" w:rsidRPr="00C10CE8" w:rsidRDefault="00C10CE8" w:rsidP="00C10CE8">
      <w:pPr>
        <w:pStyle w:val="ListParagraph"/>
        <w:numPr>
          <w:ilvl w:val="0"/>
          <w:numId w:val="7"/>
        </w:numPr>
        <w:spacing w:after="200" w:line="276" w:lineRule="auto"/>
        <w:rPr>
          <w:rFonts w:ascii="Arial" w:hAnsi="Arial" w:cs="Arial"/>
        </w:rPr>
      </w:pPr>
      <w:r w:rsidRPr="00C10CE8">
        <w:rPr>
          <w:rFonts w:ascii="Arial" w:hAnsi="Arial" w:cs="Arial"/>
        </w:rPr>
        <w:t xml:space="preserve">The introduction of Universal Credit would also offer SSA the opportunity to reassess the size of its office network. The use of online and telephony delivery models for Universal Credit may allow SSA to reduce the size of the estate by co-locating offices with other public services or relocating to smaller offices, whilst still maintaining the same number of offices for claimants who need to attend. </w:t>
      </w:r>
    </w:p>
    <w:p w:rsidR="00585AAF" w:rsidRPr="00431372" w:rsidRDefault="00585AAF" w:rsidP="00431372">
      <w:pPr>
        <w:pStyle w:val="Header"/>
        <w:tabs>
          <w:tab w:val="clear" w:pos="4153"/>
          <w:tab w:val="clear" w:pos="8306"/>
        </w:tabs>
        <w:ind w:left="-360" w:right="-354"/>
        <w:rPr>
          <w:rFonts w:ascii="Arial" w:hAnsi="Arial" w:cs="Arial"/>
          <w:b/>
          <w:color w:val="0000FF"/>
          <w:szCs w:val="24"/>
        </w:rPr>
      </w:pPr>
    </w:p>
    <w:p w:rsidR="00950C7B" w:rsidRPr="00431372" w:rsidRDefault="00950C7B" w:rsidP="00431372">
      <w:pPr>
        <w:tabs>
          <w:tab w:val="left" w:pos="0"/>
        </w:tabs>
        <w:ind w:left="-360" w:right="-354"/>
        <w:jc w:val="both"/>
        <w:rPr>
          <w:rFonts w:ascii="Arial" w:hAnsi="Arial" w:cs="Arial"/>
          <w:b/>
          <w:color w:val="0000FF"/>
        </w:rPr>
      </w:pPr>
    </w:p>
    <w:p w:rsidR="00550CB7" w:rsidRPr="00792853" w:rsidRDefault="002747EE" w:rsidP="00550CB7">
      <w:pPr>
        <w:pStyle w:val="Header"/>
        <w:tabs>
          <w:tab w:val="clear" w:pos="4153"/>
          <w:tab w:val="clear" w:pos="8306"/>
        </w:tabs>
        <w:jc w:val="both"/>
        <w:rPr>
          <w:rFonts w:ascii="Arial" w:hAnsi="Arial" w:cs="Arial"/>
          <w:b/>
          <w:sz w:val="22"/>
          <w:szCs w:val="22"/>
        </w:rPr>
      </w:pPr>
      <w:r w:rsidRPr="002747EE">
        <w:rPr>
          <w:rFonts w:ascii="Arial" w:hAnsi="Arial" w:cs="Arial"/>
          <w:noProof/>
          <w:sz w:val="22"/>
          <w:szCs w:val="22"/>
        </w:rPr>
        <w:pict>
          <v:rect id="_x0000_s1026" style="position:absolute;left:0;text-align:left;margin-left:-36pt;margin-top:.5pt;width:504.9pt;height:293pt;z-index:-251663361" fillcolor="#ccecff" strokecolor="navy" strokeweight="1.25pt"/>
        </w:pict>
      </w:r>
    </w:p>
    <w:p w:rsidR="00B35AA3" w:rsidRPr="00232065" w:rsidRDefault="00550CB7" w:rsidP="00F35A7F">
      <w:pPr>
        <w:pStyle w:val="Header"/>
        <w:tabs>
          <w:tab w:val="clear" w:pos="4153"/>
          <w:tab w:val="clear" w:pos="8306"/>
        </w:tabs>
        <w:ind w:left="-142" w:right="-334"/>
        <w:rPr>
          <w:rFonts w:ascii="Arial" w:hAnsi="Arial" w:cs="Arial"/>
          <w:b/>
          <w:color w:val="0000FF"/>
          <w:sz w:val="22"/>
          <w:szCs w:val="22"/>
          <w:u w:val="single"/>
        </w:rPr>
      </w:pPr>
      <w:r w:rsidRPr="00232065">
        <w:rPr>
          <w:rFonts w:ascii="Arial" w:hAnsi="Arial" w:cs="Arial"/>
          <w:b/>
          <w:sz w:val="22"/>
          <w:szCs w:val="22"/>
          <w:u w:val="single"/>
        </w:rPr>
        <w:t>NOTES FOR EDITORS</w:t>
      </w:r>
      <w:r w:rsidR="00232065" w:rsidRPr="00232065">
        <w:rPr>
          <w:rFonts w:ascii="Arial" w:hAnsi="Arial" w:cs="Arial"/>
          <w:b/>
          <w:sz w:val="22"/>
          <w:szCs w:val="22"/>
          <w:u w:val="single"/>
        </w:rPr>
        <w:t>:</w:t>
      </w:r>
      <w:r w:rsidR="00C10CE8" w:rsidRPr="00232065">
        <w:rPr>
          <w:rFonts w:ascii="Arial" w:hAnsi="Arial" w:cs="Arial"/>
          <w:b/>
          <w:color w:val="0000FF"/>
          <w:sz w:val="22"/>
          <w:szCs w:val="22"/>
          <w:u w:val="single"/>
        </w:rPr>
        <w:t xml:space="preserve"> </w:t>
      </w:r>
    </w:p>
    <w:p w:rsidR="00C10CE8" w:rsidRPr="00C10CE8" w:rsidRDefault="00C10CE8" w:rsidP="00C10CE8">
      <w:pPr>
        <w:numPr>
          <w:ilvl w:val="0"/>
          <w:numId w:val="8"/>
        </w:numPr>
        <w:spacing w:before="100" w:beforeAutospacing="1" w:after="100" w:afterAutospacing="1"/>
        <w:rPr>
          <w:rFonts w:ascii="Arial" w:hAnsi="Arial" w:cs="Arial"/>
        </w:rPr>
      </w:pPr>
      <w:r w:rsidRPr="00C10CE8">
        <w:rPr>
          <w:rFonts w:ascii="Arial" w:hAnsi="Arial" w:cs="Arial"/>
        </w:rPr>
        <w:t>Universal Credit is one part of Welfare Reform. It will consolidate six existing working age benefits into one. These are: income-based Jobseeker’s Allowance; income related Employment and Support Allowance; Income Support; Housing Benefit; Working Tax Credits; and Child Tax Credits.</w:t>
      </w:r>
    </w:p>
    <w:p w:rsidR="00C10CE8" w:rsidRPr="00C10CE8" w:rsidRDefault="00C10CE8" w:rsidP="00C10CE8">
      <w:pPr>
        <w:numPr>
          <w:ilvl w:val="0"/>
          <w:numId w:val="8"/>
        </w:numPr>
        <w:spacing w:before="100" w:beforeAutospacing="1" w:after="100" w:afterAutospacing="1"/>
        <w:rPr>
          <w:rFonts w:ascii="Arial" w:hAnsi="Arial" w:cs="Arial"/>
        </w:rPr>
      </w:pPr>
      <w:r w:rsidRPr="00C10CE8">
        <w:rPr>
          <w:rFonts w:ascii="Arial" w:hAnsi="Arial" w:cs="Arial"/>
        </w:rPr>
        <w:t>The Comptroller and Auditor General is Head of the Northern Ireland Audit Office (the Audit Office). He and the NIAO are totally independent of Government. He certifies the accounts of Government Departments and a range of other public sector bodies. He has statutory authority to report to the Assembly on the economy, efficiency and effectiveness with which departments and public bodies use their resources.</w:t>
      </w:r>
    </w:p>
    <w:p w:rsidR="00C10CE8" w:rsidRPr="00C10CE8" w:rsidRDefault="00C10CE8" w:rsidP="00C10CE8">
      <w:pPr>
        <w:numPr>
          <w:ilvl w:val="0"/>
          <w:numId w:val="8"/>
        </w:numPr>
        <w:spacing w:before="100" w:beforeAutospacing="1" w:after="100" w:afterAutospacing="1"/>
        <w:rPr>
          <w:rFonts w:ascii="Arial" w:hAnsi="Arial" w:cs="Arial"/>
        </w:rPr>
      </w:pPr>
      <w:r w:rsidRPr="00C10CE8">
        <w:rPr>
          <w:rFonts w:ascii="Arial" w:hAnsi="Arial" w:cs="Arial"/>
        </w:rPr>
        <w:t xml:space="preserve">This report is available on the Audit Office website at </w:t>
      </w:r>
      <w:r w:rsidRPr="00C10CE8">
        <w:rPr>
          <w:rFonts w:ascii="Arial" w:hAnsi="Arial" w:cs="Arial"/>
          <w:u w:val="single"/>
        </w:rPr>
        <w:t>www.niauditoffice.gov.uk</w:t>
      </w:r>
      <w:r w:rsidRPr="00C10CE8">
        <w:rPr>
          <w:rFonts w:ascii="Arial" w:hAnsi="Arial" w:cs="Arial"/>
        </w:rPr>
        <w:t xml:space="preserve">. The report is </w:t>
      </w:r>
      <w:r w:rsidRPr="00C10CE8">
        <w:rPr>
          <w:rFonts w:ascii="Arial" w:hAnsi="Arial" w:cs="Arial"/>
          <w:b/>
          <w:bCs/>
        </w:rPr>
        <w:t>embargoed until 00.01 hrs on 11 November 2014.</w:t>
      </w:r>
    </w:p>
    <w:p w:rsidR="00C10CE8" w:rsidRPr="00C10CE8" w:rsidRDefault="00C10CE8" w:rsidP="00C10CE8">
      <w:pPr>
        <w:numPr>
          <w:ilvl w:val="0"/>
          <w:numId w:val="8"/>
        </w:numPr>
        <w:spacing w:before="100" w:beforeAutospacing="1" w:after="100" w:afterAutospacing="1"/>
        <w:rPr>
          <w:rFonts w:ascii="Arial" w:hAnsi="Arial" w:cs="Arial"/>
        </w:rPr>
      </w:pPr>
      <w:r w:rsidRPr="00C10CE8">
        <w:rPr>
          <w:rFonts w:ascii="Arial" w:hAnsi="Arial" w:cs="Arial"/>
        </w:rPr>
        <w:t>Background briefing can be obtained from the Audit Office by contacting Denver Lynn (028 9025 1063) or Roger McCance (028 9025 4312).</w:t>
      </w:r>
    </w:p>
    <w:p w:rsidR="00550CB7" w:rsidRPr="00B35AA3" w:rsidRDefault="00550CB7" w:rsidP="00F35A7F">
      <w:pPr>
        <w:tabs>
          <w:tab w:val="num" w:pos="567"/>
        </w:tabs>
        <w:ind w:left="567" w:hanging="567"/>
        <w:jc w:val="both"/>
        <w:rPr>
          <w:rFonts w:ascii="Arial" w:hAnsi="Arial" w:cs="Arial"/>
          <w:sz w:val="22"/>
          <w:szCs w:val="22"/>
        </w:rPr>
      </w:pPr>
    </w:p>
    <w:sectPr w:rsidR="00550CB7" w:rsidRPr="00B35AA3" w:rsidSect="001D2C0E">
      <w:headerReference w:type="default" r:id="rId8"/>
      <w:footerReference w:type="default" r:id="rId9"/>
      <w:pgSz w:w="11907" w:h="16840" w:code="9"/>
      <w:pgMar w:top="1258" w:right="1797" w:bottom="360" w:left="179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BB1" w:rsidRDefault="00BD3BB1">
      <w:r>
        <w:separator/>
      </w:r>
    </w:p>
  </w:endnote>
  <w:endnote w:type="continuationSeparator" w:id="0">
    <w:p w:rsidR="00BD3BB1" w:rsidRDefault="00BD3B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D4" w:rsidRDefault="002747EE">
    <w:pPr>
      <w:pStyle w:val="Footer"/>
      <w:jc w:val="center"/>
    </w:pPr>
    <w:fldSimple w:instr=" PAGE   \* MERGEFORMAT ">
      <w:r w:rsidR="00FD2A52">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BB1" w:rsidRDefault="00BD3BB1">
      <w:r>
        <w:separator/>
      </w:r>
    </w:p>
  </w:footnote>
  <w:footnote w:type="continuationSeparator" w:id="0">
    <w:p w:rsidR="00BD3BB1" w:rsidRDefault="00BD3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D4" w:rsidRPr="00C10CE8" w:rsidRDefault="00E802D4" w:rsidP="00431372">
    <w:pPr>
      <w:pStyle w:val="Header"/>
      <w:tabs>
        <w:tab w:val="clear" w:pos="8306"/>
        <w:tab w:val="right" w:pos="8640"/>
      </w:tabs>
      <w:ind w:left="-360"/>
      <w:jc w:val="center"/>
      <w:rPr>
        <w:rFonts w:ascii="Arial" w:hAnsi="Arial" w:cs="Arial"/>
        <w:b/>
        <w:sz w:val="22"/>
        <w:szCs w:val="22"/>
        <w:u w:val="single"/>
      </w:rPr>
    </w:pPr>
    <w:r w:rsidRPr="00B35AA3">
      <w:rPr>
        <w:rFonts w:ascii="Arial" w:hAnsi="Arial" w:cs="Arial"/>
        <w:b/>
        <w:sz w:val="22"/>
        <w:szCs w:val="22"/>
      </w:rPr>
      <w:t xml:space="preserve">THIS STATEMENT IS ISSUED ON THE STRICT UNDERSTANDING THAT IT IS NOT FOR PUBLICATION OR BROADCAST BEFORE </w:t>
    </w:r>
    <w:r w:rsidRPr="00B35AA3">
      <w:rPr>
        <w:rFonts w:ascii="Arial" w:hAnsi="Arial" w:cs="Arial"/>
        <w:b/>
        <w:i/>
        <w:sz w:val="22"/>
        <w:szCs w:val="22"/>
        <w:u w:val="single"/>
      </w:rPr>
      <w:t>00.01 hrs</w:t>
    </w:r>
    <w:r w:rsidR="00C10CE8">
      <w:rPr>
        <w:rFonts w:ascii="Arial" w:hAnsi="Arial" w:cs="Arial"/>
        <w:b/>
        <w:sz w:val="22"/>
        <w:szCs w:val="22"/>
      </w:rPr>
      <w:t xml:space="preserve"> Tuesday 11 November</w:t>
    </w:r>
  </w:p>
  <w:p w:rsidR="00C10CE8" w:rsidRPr="00B35AA3" w:rsidRDefault="00C10CE8" w:rsidP="00431372">
    <w:pPr>
      <w:pStyle w:val="Header"/>
      <w:tabs>
        <w:tab w:val="clear" w:pos="8306"/>
        <w:tab w:val="right" w:pos="8640"/>
      </w:tabs>
      <w:ind w:left="-360"/>
      <w:jc w:val="center"/>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A46"/>
    <w:multiLevelType w:val="multilevel"/>
    <w:tmpl w:val="36F4C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700A7C"/>
    <w:multiLevelType w:val="multilevel"/>
    <w:tmpl w:val="E82A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A1CCD"/>
    <w:multiLevelType w:val="hybridMultilevel"/>
    <w:tmpl w:val="31C6EB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5C7E0BBE"/>
    <w:multiLevelType w:val="hybridMultilevel"/>
    <w:tmpl w:val="79ECC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824F0A"/>
    <w:multiLevelType w:val="hybridMultilevel"/>
    <w:tmpl w:val="8E48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967376"/>
    <w:multiLevelType w:val="hybridMultilevel"/>
    <w:tmpl w:val="AC1C4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F611B74"/>
    <w:multiLevelType w:val="hybridMultilevel"/>
    <w:tmpl w:val="E250CE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7">
    <w:nsid w:val="7A403CEB"/>
    <w:multiLevelType w:val="hybridMultilevel"/>
    <w:tmpl w:val="AC7E12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noPunctuationKerning/>
  <w:characterSpacingControl w:val="doNotCompress"/>
  <w:footnotePr>
    <w:footnote w:id="-1"/>
    <w:footnote w:id="0"/>
  </w:footnotePr>
  <w:endnotePr>
    <w:endnote w:id="-1"/>
    <w:endnote w:id="0"/>
  </w:endnotePr>
  <w:compat/>
  <w:rsids>
    <w:rsidRoot w:val="007D35CA"/>
    <w:rsid w:val="000067AC"/>
    <w:rsid w:val="00006F4A"/>
    <w:rsid w:val="0000744D"/>
    <w:rsid w:val="000127C9"/>
    <w:rsid w:val="00014C1D"/>
    <w:rsid w:val="00014FA6"/>
    <w:rsid w:val="00015652"/>
    <w:rsid w:val="00030979"/>
    <w:rsid w:val="00031938"/>
    <w:rsid w:val="00041874"/>
    <w:rsid w:val="00041AB4"/>
    <w:rsid w:val="00047702"/>
    <w:rsid w:val="000559A2"/>
    <w:rsid w:val="00057CA1"/>
    <w:rsid w:val="00061FDC"/>
    <w:rsid w:val="00063FBB"/>
    <w:rsid w:val="00065075"/>
    <w:rsid w:val="00080318"/>
    <w:rsid w:val="00087049"/>
    <w:rsid w:val="0009119F"/>
    <w:rsid w:val="00095587"/>
    <w:rsid w:val="000A25B0"/>
    <w:rsid w:val="000A33B1"/>
    <w:rsid w:val="000A6EBB"/>
    <w:rsid w:val="000B12E5"/>
    <w:rsid w:val="000B34E9"/>
    <w:rsid w:val="000C0E47"/>
    <w:rsid w:val="000C0FD8"/>
    <w:rsid w:val="000C39E8"/>
    <w:rsid w:val="000D21C7"/>
    <w:rsid w:val="000D391A"/>
    <w:rsid w:val="000D58F1"/>
    <w:rsid w:val="000D7122"/>
    <w:rsid w:val="000D7361"/>
    <w:rsid w:val="000E156B"/>
    <w:rsid w:val="000F68C6"/>
    <w:rsid w:val="00106124"/>
    <w:rsid w:val="00106B66"/>
    <w:rsid w:val="00111E71"/>
    <w:rsid w:val="00112E23"/>
    <w:rsid w:val="0011463A"/>
    <w:rsid w:val="00114A70"/>
    <w:rsid w:val="001153A3"/>
    <w:rsid w:val="00120166"/>
    <w:rsid w:val="001223A4"/>
    <w:rsid w:val="001238F0"/>
    <w:rsid w:val="00124813"/>
    <w:rsid w:val="00126CD2"/>
    <w:rsid w:val="00131713"/>
    <w:rsid w:val="0013677F"/>
    <w:rsid w:val="00140CB7"/>
    <w:rsid w:val="00141CC9"/>
    <w:rsid w:val="00147A9B"/>
    <w:rsid w:val="00150139"/>
    <w:rsid w:val="00150592"/>
    <w:rsid w:val="00150EEF"/>
    <w:rsid w:val="00151D19"/>
    <w:rsid w:val="001520B9"/>
    <w:rsid w:val="001564A7"/>
    <w:rsid w:val="0016028F"/>
    <w:rsid w:val="001607BE"/>
    <w:rsid w:val="00161E39"/>
    <w:rsid w:val="001624F1"/>
    <w:rsid w:val="00165ABE"/>
    <w:rsid w:val="0017177D"/>
    <w:rsid w:val="00173CA1"/>
    <w:rsid w:val="00177562"/>
    <w:rsid w:val="001839EF"/>
    <w:rsid w:val="00187897"/>
    <w:rsid w:val="00193F4A"/>
    <w:rsid w:val="00197305"/>
    <w:rsid w:val="001A116B"/>
    <w:rsid w:val="001A7D27"/>
    <w:rsid w:val="001B061B"/>
    <w:rsid w:val="001B1F8A"/>
    <w:rsid w:val="001B3BC6"/>
    <w:rsid w:val="001B6458"/>
    <w:rsid w:val="001C1046"/>
    <w:rsid w:val="001C12E6"/>
    <w:rsid w:val="001C1523"/>
    <w:rsid w:val="001C2256"/>
    <w:rsid w:val="001C28EE"/>
    <w:rsid w:val="001C3D77"/>
    <w:rsid w:val="001C480E"/>
    <w:rsid w:val="001C576C"/>
    <w:rsid w:val="001C5A43"/>
    <w:rsid w:val="001D2C0E"/>
    <w:rsid w:val="001D4932"/>
    <w:rsid w:val="001E773E"/>
    <w:rsid w:val="001F17F3"/>
    <w:rsid w:val="001F1940"/>
    <w:rsid w:val="001F3476"/>
    <w:rsid w:val="001F38A9"/>
    <w:rsid w:val="002036AF"/>
    <w:rsid w:val="00204947"/>
    <w:rsid w:val="00206F3E"/>
    <w:rsid w:val="0020776C"/>
    <w:rsid w:val="00215204"/>
    <w:rsid w:val="00217D3A"/>
    <w:rsid w:val="00223C4C"/>
    <w:rsid w:val="002252F1"/>
    <w:rsid w:val="0022677D"/>
    <w:rsid w:val="00226FA0"/>
    <w:rsid w:val="002305C9"/>
    <w:rsid w:val="00232065"/>
    <w:rsid w:val="00236510"/>
    <w:rsid w:val="00243239"/>
    <w:rsid w:val="00253830"/>
    <w:rsid w:val="002565BE"/>
    <w:rsid w:val="002605F8"/>
    <w:rsid w:val="00264970"/>
    <w:rsid w:val="00264DD1"/>
    <w:rsid w:val="0026608F"/>
    <w:rsid w:val="002668CA"/>
    <w:rsid w:val="002703A5"/>
    <w:rsid w:val="002747EE"/>
    <w:rsid w:val="00275489"/>
    <w:rsid w:val="00275FE4"/>
    <w:rsid w:val="00276E07"/>
    <w:rsid w:val="00276F9F"/>
    <w:rsid w:val="002773B4"/>
    <w:rsid w:val="0028113F"/>
    <w:rsid w:val="002812C6"/>
    <w:rsid w:val="00284C49"/>
    <w:rsid w:val="00286C2C"/>
    <w:rsid w:val="0029298C"/>
    <w:rsid w:val="0029374E"/>
    <w:rsid w:val="002A4D4B"/>
    <w:rsid w:val="002A5E92"/>
    <w:rsid w:val="002B06A1"/>
    <w:rsid w:val="002C09EE"/>
    <w:rsid w:val="002C0B80"/>
    <w:rsid w:val="002C0D00"/>
    <w:rsid w:val="002C279D"/>
    <w:rsid w:val="002C3F83"/>
    <w:rsid w:val="002D0F75"/>
    <w:rsid w:val="002D2708"/>
    <w:rsid w:val="002D2966"/>
    <w:rsid w:val="002D2F2E"/>
    <w:rsid w:val="002D4212"/>
    <w:rsid w:val="002D4B5F"/>
    <w:rsid w:val="002E0D14"/>
    <w:rsid w:val="002E0E5B"/>
    <w:rsid w:val="002E1B5B"/>
    <w:rsid w:val="002E417F"/>
    <w:rsid w:val="002F0862"/>
    <w:rsid w:val="002F1FA7"/>
    <w:rsid w:val="002F2FC4"/>
    <w:rsid w:val="002F67E0"/>
    <w:rsid w:val="002F7698"/>
    <w:rsid w:val="0030141F"/>
    <w:rsid w:val="00310678"/>
    <w:rsid w:val="00312F33"/>
    <w:rsid w:val="0031442B"/>
    <w:rsid w:val="00321431"/>
    <w:rsid w:val="00322C2C"/>
    <w:rsid w:val="003236BF"/>
    <w:rsid w:val="00327641"/>
    <w:rsid w:val="00327A8B"/>
    <w:rsid w:val="00327F58"/>
    <w:rsid w:val="00330C05"/>
    <w:rsid w:val="00341F51"/>
    <w:rsid w:val="00351C57"/>
    <w:rsid w:val="003523B7"/>
    <w:rsid w:val="00352563"/>
    <w:rsid w:val="0035530A"/>
    <w:rsid w:val="00361150"/>
    <w:rsid w:val="00361E0B"/>
    <w:rsid w:val="00362DCF"/>
    <w:rsid w:val="003676C0"/>
    <w:rsid w:val="00370796"/>
    <w:rsid w:val="003756C4"/>
    <w:rsid w:val="00380C9D"/>
    <w:rsid w:val="00382D24"/>
    <w:rsid w:val="00385F9C"/>
    <w:rsid w:val="00386AD6"/>
    <w:rsid w:val="00393375"/>
    <w:rsid w:val="00395182"/>
    <w:rsid w:val="00397A56"/>
    <w:rsid w:val="003A49FB"/>
    <w:rsid w:val="003B59AA"/>
    <w:rsid w:val="003C17D3"/>
    <w:rsid w:val="003C66DF"/>
    <w:rsid w:val="003C767E"/>
    <w:rsid w:val="003C7AF7"/>
    <w:rsid w:val="003D1359"/>
    <w:rsid w:val="003D28C2"/>
    <w:rsid w:val="003D4826"/>
    <w:rsid w:val="003D53D7"/>
    <w:rsid w:val="003D5CB6"/>
    <w:rsid w:val="003D66BB"/>
    <w:rsid w:val="003D7780"/>
    <w:rsid w:val="003E3D7F"/>
    <w:rsid w:val="003E3FC5"/>
    <w:rsid w:val="003E4720"/>
    <w:rsid w:val="003F2644"/>
    <w:rsid w:val="003F2C1A"/>
    <w:rsid w:val="003F3B87"/>
    <w:rsid w:val="003F6269"/>
    <w:rsid w:val="003F67BF"/>
    <w:rsid w:val="004028CC"/>
    <w:rsid w:val="00412270"/>
    <w:rsid w:val="004153CC"/>
    <w:rsid w:val="00416DE6"/>
    <w:rsid w:val="0042090B"/>
    <w:rsid w:val="004217B0"/>
    <w:rsid w:val="00431372"/>
    <w:rsid w:val="004313EA"/>
    <w:rsid w:val="00433B76"/>
    <w:rsid w:val="00434AE8"/>
    <w:rsid w:val="00437CEC"/>
    <w:rsid w:val="00442498"/>
    <w:rsid w:val="004438E2"/>
    <w:rsid w:val="00445571"/>
    <w:rsid w:val="00447CEA"/>
    <w:rsid w:val="00455521"/>
    <w:rsid w:val="00456881"/>
    <w:rsid w:val="004573F3"/>
    <w:rsid w:val="00472234"/>
    <w:rsid w:val="00473778"/>
    <w:rsid w:val="00473E3C"/>
    <w:rsid w:val="00477213"/>
    <w:rsid w:val="00480054"/>
    <w:rsid w:val="00482951"/>
    <w:rsid w:val="00490361"/>
    <w:rsid w:val="00490876"/>
    <w:rsid w:val="00494FA9"/>
    <w:rsid w:val="00497625"/>
    <w:rsid w:val="00497712"/>
    <w:rsid w:val="004A1665"/>
    <w:rsid w:val="004A18C1"/>
    <w:rsid w:val="004A2A29"/>
    <w:rsid w:val="004A34D1"/>
    <w:rsid w:val="004B05C8"/>
    <w:rsid w:val="004C20A3"/>
    <w:rsid w:val="004C3D62"/>
    <w:rsid w:val="004C638B"/>
    <w:rsid w:val="004C68EC"/>
    <w:rsid w:val="004D374A"/>
    <w:rsid w:val="004D3A6A"/>
    <w:rsid w:val="004E3904"/>
    <w:rsid w:val="004E39A0"/>
    <w:rsid w:val="004E60F8"/>
    <w:rsid w:val="004E6CFA"/>
    <w:rsid w:val="004F01E4"/>
    <w:rsid w:val="004F18CC"/>
    <w:rsid w:val="004F34A1"/>
    <w:rsid w:val="004F5CDE"/>
    <w:rsid w:val="00502F61"/>
    <w:rsid w:val="005049EE"/>
    <w:rsid w:val="005106C9"/>
    <w:rsid w:val="005124BC"/>
    <w:rsid w:val="00513DD9"/>
    <w:rsid w:val="005159AA"/>
    <w:rsid w:val="005307EA"/>
    <w:rsid w:val="00530DB6"/>
    <w:rsid w:val="00530E46"/>
    <w:rsid w:val="00537691"/>
    <w:rsid w:val="0054486F"/>
    <w:rsid w:val="00550CB7"/>
    <w:rsid w:val="005549B0"/>
    <w:rsid w:val="005577D2"/>
    <w:rsid w:val="00563373"/>
    <w:rsid w:val="005678AC"/>
    <w:rsid w:val="0057329B"/>
    <w:rsid w:val="005742D8"/>
    <w:rsid w:val="005766FD"/>
    <w:rsid w:val="005801D9"/>
    <w:rsid w:val="005819EB"/>
    <w:rsid w:val="00582CDA"/>
    <w:rsid w:val="00585AAF"/>
    <w:rsid w:val="005860F1"/>
    <w:rsid w:val="00587F33"/>
    <w:rsid w:val="00590EF2"/>
    <w:rsid w:val="005919B5"/>
    <w:rsid w:val="00591E7D"/>
    <w:rsid w:val="00593B4D"/>
    <w:rsid w:val="005A354C"/>
    <w:rsid w:val="005A58A4"/>
    <w:rsid w:val="005B0A46"/>
    <w:rsid w:val="005B0E1D"/>
    <w:rsid w:val="005B2545"/>
    <w:rsid w:val="005B5E1E"/>
    <w:rsid w:val="005B6D83"/>
    <w:rsid w:val="005C33EA"/>
    <w:rsid w:val="005C7986"/>
    <w:rsid w:val="005D03CE"/>
    <w:rsid w:val="005D3AAC"/>
    <w:rsid w:val="005D484B"/>
    <w:rsid w:val="005D4A1E"/>
    <w:rsid w:val="005D6062"/>
    <w:rsid w:val="005D75C4"/>
    <w:rsid w:val="005E5677"/>
    <w:rsid w:val="005E6078"/>
    <w:rsid w:val="005E6637"/>
    <w:rsid w:val="005F3B20"/>
    <w:rsid w:val="005F49C4"/>
    <w:rsid w:val="005F6C91"/>
    <w:rsid w:val="006035BE"/>
    <w:rsid w:val="0060544B"/>
    <w:rsid w:val="00612AEE"/>
    <w:rsid w:val="00617CE9"/>
    <w:rsid w:val="00620331"/>
    <w:rsid w:val="00622CDD"/>
    <w:rsid w:val="00624FE6"/>
    <w:rsid w:val="00625E96"/>
    <w:rsid w:val="006300E7"/>
    <w:rsid w:val="0063171C"/>
    <w:rsid w:val="00634742"/>
    <w:rsid w:val="0063490E"/>
    <w:rsid w:val="00635F90"/>
    <w:rsid w:val="006401DF"/>
    <w:rsid w:val="00642674"/>
    <w:rsid w:val="006434C7"/>
    <w:rsid w:val="00646C33"/>
    <w:rsid w:val="00646E12"/>
    <w:rsid w:val="0065309B"/>
    <w:rsid w:val="006602F3"/>
    <w:rsid w:val="00661D54"/>
    <w:rsid w:val="00662C3D"/>
    <w:rsid w:val="0067682E"/>
    <w:rsid w:val="00677669"/>
    <w:rsid w:val="006776DF"/>
    <w:rsid w:val="00680E85"/>
    <w:rsid w:val="00680EE5"/>
    <w:rsid w:val="00684ED0"/>
    <w:rsid w:val="006901E0"/>
    <w:rsid w:val="00690C20"/>
    <w:rsid w:val="006916B0"/>
    <w:rsid w:val="00691DB5"/>
    <w:rsid w:val="0069382A"/>
    <w:rsid w:val="00696BBB"/>
    <w:rsid w:val="006A1955"/>
    <w:rsid w:val="006A5C7E"/>
    <w:rsid w:val="006A645C"/>
    <w:rsid w:val="006A7A9E"/>
    <w:rsid w:val="006B1037"/>
    <w:rsid w:val="006B21E3"/>
    <w:rsid w:val="006B78DE"/>
    <w:rsid w:val="006D02B9"/>
    <w:rsid w:val="006D17AC"/>
    <w:rsid w:val="006D5195"/>
    <w:rsid w:val="006D6F35"/>
    <w:rsid w:val="006D74DE"/>
    <w:rsid w:val="006E1EB8"/>
    <w:rsid w:val="006E3819"/>
    <w:rsid w:val="006E4E23"/>
    <w:rsid w:val="006E7C5D"/>
    <w:rsid w:val="006F1819"/>
    <w:rsid w:val="006F18A8"/>
    <w:rsid w:val="006F19EF"/>
    <w:rsid w:val="006F1B7D"/>
    <w:rsid w:val="006F1E70"/>
    <w:rsid w:val="00705954"/>
    <w:rsid w:val="0071073D"/>
    <w:rsid w:val="00712312"/>
    <w:rsid w:val="00713A4C"/>
    <w:rsid w:val="00713C65"/>
    <w:rsid w:val="00714071"/>
    <w:rsid w:val="0072073D"/>
    <w:rsid w:val="007250C4"/>
    <w:rsid w:val="00725376"/>
    <w:rsid w:val="00730420"/>
    <w:rsid w:val="0073236F"/>
    <w:rsid w:val="00733CD2"/>
    <w:rsid w:val="00735345"/>
    <w:rsid w:val="007368D7"/>
    <w:rsid w:val="007372E7"/>
    <w:rsid w:val="00741901"/>
    <w:rsid w:val="0075284C"/>
    <w:rsid w:val="00755588"/>
    <w:rsid w:val="00755953"/>
    <w:rsid w:val="007566EC"/>
    <w:rsid w:val="00757340"/>
    <w:rsid w:val="0076677A"/>
    <w:rsid w:val="00767E41"/>
    <w:rsid w:val="00772AA7"/>
    <w:rsid w:val="00773B8D"/>
    <w:rsid w:val="00777499"/>
    <w:rsid w:val="00781538"/>
    <w:rsid w:val="00781835"/>
    <w:rsid w:val="00781C9E"/>
    <w:rsid w:val="00783315"/>
    <w:rsid w:val="0078335A"/>
    <w:rsid w:val="0078542F"/>
    <w:rsid w:val="00786883"/>
    <w:rsid w:val="00787F38"/>
    <w:rsid w:val="00791A6E"/>
    <w:rsid w:val="007955D1"/>
    <w:rsid w:val="007A1A6D"/>
    <w:rsid w:val="007A2381"/>
    <w:rsid w:val="007A2403"/>
    <w:rsid w:val="007A3032"/>
    <w:rsid w:val="007A733D"/>
    <w:rsid w:val="007B5643"/>
    <w:rsid w:val="007B59AD"/>
    <w:rsid w:val="007B6087"/>
    <w:rsid w:val="007B686E"/>
    <w:rsid w:val="007C04E6"/>
    <w:rsid w:val="007C1703"/>
    <w:rsid w:val="007C3A4A"/>
    <w:rsid w:val="007C3D87"/>
    <w:rsid w:val="007C44BA"/>
    <w:rsid w:val="007C4B52"/>
    <w:rsid w:val="007D0C2C"/>
    <w:rsid w:val="007D35CA"/>
    <w:rsid w:val="007D5A03"/>
    <w:rsid w:val="007E15B1"/>
    <w:rsid w:val="007E5682"/>
    <w:rsid w:val="007E5700"/>
    <w:rsid w:val="007F1EBB"/>
    <w:rsid w:val="007F4394"/>
    <w:rsid w:val="007F6D34"/>
    <w:rsid w:val="007F745B"/>
    <w:rsid w:val="008002E2"/>
    <w:rsid w:val="00803146"/>
    <w:rsid w:val="00806F5B"/>
    <w:rsid w:val="00811D1D"/>
    <w:rsid w:val="008150FB"/>
    <w:rsid w:val="008153FA"/>
    <w:rsid w:val="00820A69"/>
    <w:rsid w:val="008224F7"/>
    <w:rsid w:val="00824CF3"/>
    <w:rsid w:val="00826BDE"/>
    <w:rsid w:val="00826D78"/>
    <w:rsid w:val="00844500"/>
    <w:rsid w:val="00852531"/>
    <w:rsid w:val="008533E4"/>
    <w:rsid w:val="0085471E"/>
    <w:rsid w:val="00854C61"/>
    <w:rsid w:val="00854FDC"/>
    <w:rsid w:val="0086115A"/>
    <w:rsid w:val="008615E6"/>
    <w:rsid w:val="008619FD"/>
    <w:rsid w:val="00861D60"/>
    <w:rsid w:val="00862992"/>
    <w:rsid w:val="00867F21"/>
    <w:rsid w:val="008708D0"/>
    <w:rsid w:val="00870E15"/>
    <w:rsid w:val="008714F1"/>
    <w:rsid w:val="00871CA7"/>
    <w:rsid w:val="00872977"/>
    <w:rsid w:val="008817C7"/>
    <w:rsid w:val="00887194"/>
    <w:rsid w:val="00890B89"/>
    <w:rsid w:val="0089396D"/>
    <w:rsid w:val="00895DB9"/>
    <w:rsid w:val="008A0B00"/>
    <w:rsid w:val="008A15FF"/>
    <w:rsid w:val="008A407B"/>
    <w:rsid w:val="008A6012"/>
    <w:rsid w:val="008A7B7C"/>
    <w:rsid w:val="008A7C5B"/>
    <w:rsid w:val="008B0903"/>
    <w:rsid w:val="008B1E55"/>
    <w:rsid w:val="008B4104"/>
    <w:rsid w:val="008B6484"/>
    <w:rsid w:val="008B78C5"/>
    <w:rsid w:val="008C02A1"/>
    <w:rsid w:val="008C2988"/>
    <w:rsid w:val="008C6261"/>
    <w:rsid w:val="008C7C64"/>
    <w:rsid w:val="008D19FC"/>
    <w:rsid w:val="008D3648"/>
    <w:rsid w:val="008D7712"/>
    <w:rsid w:val="008E2070"/>
    <w:rsid w:val="008E2BA6"/>
    <w:rsid w:val="008E3C37"/>
    <w:rsid w:val="008E72D6"/>
    <w:rsid w:val="008E7AC7"/>
    <w:rsid w:val="008E7F71"/>
    <w:rsid w:val="008E7FB3"/>
    <w:rsid w:val="008F3F00"/>
    <w:rsid w:val="008F4655"/>
    <w:rsid w:val="008F478C"/>
    <w:rsid w:val="008F5AF8"/>
    <w:rsid w:val="008F627F"/>
    <w:rsid w:val="008F703A"/>
    <w:rsid w:val="009004BD"/>
    <w:rsid w:val="0090092A"/>
    <w:rsid w:val="00904D86"/>
    <w:rsid w:val="00910870"/>
    <w:rsid w:val="00912340"/>
    <w:rsid w:val="00930231"/>
    <w:rsid w:val="009303E2"/>
    <w:rsid w:val="00930657"/>
    <w:rsid w:val="00931B66"/>
    <w:rsid w:val="00936B30"/>
    <w:rsid w:val="00940B95"/>
    <w:rsid w:val="0094412B"/>
    <w:rsid w:val="00944F1C"/>
    <w:rsid w:val="00945D76"/>
    <w:rsid w:val="0094637B"/>
    <w:rsid w:val="009469B3"/>
    <w:rsid w:val="00947069"/>
    <w:rsid w:val="00950C7B"/>
    <w:rsid w:val="009520CF"/>
    <w:rsid w:val="00952DBA"/>
    <w:rsid w:val="0095397A"/>
    <w:rsid w:val="00956597"/>
    <w:rsid w:val="009626D8"/>
    <w:rsid w:val="00965D90"/>
    <w:rsid w:val="00966667"/>
    <w:rsid w:val="00970192"/>
    <w:rsid w:val="0097083A"/>
    <w:rsid w:val="00971C76"/>
    <w:rsid w:val="009721BC"/>
    <w:rsid w:val="00973DA5"/>
    <w:rsid w:val="00975BCB"/>
    <w:rsid w:val="009767A1"/>
    <w:rsid w:val="009767E3"/>
    <w:rsid w:val="00980AEB"/>
    <w:rsid w:val="00980FD5"/>
    <w:rsid w:val="00982365"/>
    <w:rsid w:val="009853F4"/>
    <w:rsid w:val="00993C37"/>
    <w:rsid w:val="009A2384"/>
    <w:rsid w:val="009A578F"/>
    <w:rsid w:val="009A5BF8"/>
    <w:rsid w:val="009A616E"/>
    <w:rsid w:val="009B0414"/>
    <w:rsid w:val="009B3A62"/>
    <w:rsid w:val="009B565E"/>
    <w:rsid w:val="009B6F83"/>
    <w:rsid w:val="009C2C0B"/>
    <w:rsid w:val="009C3C8E"/>
    <w:rsid w:val="009C441B"/>
    <w:rsid w:val="009C54ED"/>
    <w:rsid w:val="009C7AB1"/>
    <w:rsid w:val="009D1ED7"/>
    <w:rsid w:val="009D3D28"/>
    <w:rsid w:val="009D5807"/>
    <w:rsid w:val="009D63DA"/>
    <w:rsid w:val="009D6FC4"/>
    <w:rsid w:val="009E373B"/>
    <w:rsid w:val="009E575C"/>
    <w:rsid w:val="009E71A1"/>
    <w:rsid w:val="009E7CCA"/>
    <w:rsid w:val="009F312A"/>
    <w:rsid w:val="009F4923"/>
    <w:rsid w:val="009F57FA"/>
    <w:rsid w:val="009F5F45"/>
    <w:rsid w:val="00A00899"/>
    <w:rsid w:val="00A02199"/>
    <w:rsid w:val="00A0750C"/>
    <w:rsid w:val="00A14883"/>
    <w:rsid w:val="00A21A2E"/>
    <w:rsid w:val="00A21E93"/>
    <w:rsid w:val="00A321ED"/>
    <w:rsid w:val="00A33BF8"/>
    <w:rsid w:val="00A33C0F"/>
    <w:rsid w:val="00A37D9B"/>
    <w:rsid w:val="00A41815"/>
    <w:rsid w:val="00A42F5E"/>
    <w:rsid w:val="00A4544A"/>
    <w:rsid w:val="00A45599"/>
    <w:rsid w:val="00A508DB"/>
    <w:rsid w:val="00A536B6"/>
    <w:rsid w:val="00A5561F"/>
    <w:rsid w:val="00A55824"/>
    <w:rsid w:val="00A570FD"/>
    <w:rsid w:val="00A65889"/>
    <w:rsid w:val="00A65D31"/>
    <w:rsid w:val="00A71AC9"/>
    <w:rsid w:val="00A75F59"/>
    <w:rsid w:val="00A86E41"/>
    <w:rsid w:val="00A979A7"/>
    <w:rsid w:val="00AA2509"/>
    <w:rsid w:val="00AA2C67"/>
    <w:rsid w:val="00AA56E3"/>
    <w:rsid w:val="00AA5B88"/>
    <w:rsid w:val="00AA6AE9"/>
    <w:rsid w:val="00AA7664"/>
    <w:rsid w:val="00AB1C02"/>
    <w:rsid w:val="00AB1F40"/>
    <w:rsid w:val="00AB4A8B"/>
    <w:rsid w:val="00AB6D8D"/>
    <w:rsid w:val="00AC1181"/>
    <w:rsid w:val="00AC3BE5"/>
    <w:rsid w:val="00AC6402"/>
    <w:rsid w:val="00AD01C0"/>
    <w:rsid w:val="00AD5EE4"/>
    <w:rsid w:val="00AE0087"/>
    <w:rsid w:val="00AE1792"/>
    <w:rsid w:val="00AE7F0D"/>
    <w:rsid w:val="00AF0073"/>
    <w:rsid w:val="00AF06DE"/>
    <w:rsid w:val="00AF3201"/>
    <w:rsid w:val="00AF39B2"/>
    <w:rsid w:val="00AF5859"/>
    <w:rsid w:val="00AF6135"/>
    <w:rsid w:val="00B03BBA"/>
    <w:rsid w:val="00B03FA2"/>
    <w:rsid w:val="00B05018"/>
    <w:rsid w:val="00B05F68"/>
    <w:rsid w:val="00B159A8"/>
    <w:rsid w:val="00B16F63"/>
    <w:rsid w:val="00B23A91"/>
    <w:rsid w:val="00B265B2"/>
    <w:rsid w:val="00B27A04"/>
    <w:rsid w:val="00B27BE9"/>
    <w:rsid w:val="00B30919"/>
    <w:rsid w:val="00B341E7"/>
    <w:rsid w:val="00B34270"/>
    <w:rsid w:val="00B35AA3"/>
    <w:rsid w:val="00B3682F"/>
    <w:rsid w:val="00B37AC4"/>
    <w:rsid w:val="00B40528"/>
    <w:rsid w:val="00B466A2"/>
    <w:rsid w:val="00B5053F"/>
    <w:rsid w:val="00B54E12"/>
    <w:rsid w:val="00B6218E"/>
    <w:rsid w:val="00B63187"/>
    <w:rsid w:val="00B63784"/>
    <w:rsid w:val="00B6530B"/>
    <w:rsid w:val="00B678A8"/>
    <w:rsid w:val="00B716E6"/>
    <w:rsid w:val="00B71D5B"/>
    <w:rsid w:val="00B74CCC"/>
    <w:rsid w:val="00B76DDF"/>
    <w:rsid w:val="00B807F6"/>
    <w:rsid w:val="00B8102B"/>
    <w:rsid w:val="00B83315"/>
    <w:rsid w:val="00B87A0D"/>
    <w:rsid w:val="00B91818"/>
    <w:rsid w:val="00BA6E95"/>
    <w:rsid w:val="00BA781E"/>
    <w:rsid w:val="00BB2F94"/>
    <w:rsid w:val="00BB6940"/>
    <w:rsid w:val="00BC1FBD"/>
    <w:rsid w:val="00BC308F"/>
    <w:rsid w:val="00BC443E"/>
    <w:rsid w:val="00BC528B"/>
    <w:rsid w:val="00BC632B"/>
    <w:rsid w:val="00BC73EE"/>
    <w:rsid w:val="00BD0906"/>
    <w:rsid w:val="00BD21D0"/>
    <w:rsid w:val="00BD3B2B"/>
    <w:rsid w:val="00BD3BB1"/>
    <w:rsid w:val="00BE1000"/>
    <w:rsid w:val="00BE1AAA"/>
    <w:rsid w:val="00BE2DBF"/>
    <w:rsid w:val="00BE5370"/>
    <w:rsid w:val="00BE7230"/>
    <w:rsid w:val="00BF1917"/>
    <w:rsid w:val="00BF38E3"/>
    <w:rsid w:val="00BF3D0B"/>
    <w:rsid w:val="00BF43E8"/>
    <w:rsid w:val="00BF7E5B"/>
    <w:rsid w:val="00C01A41"/>
    <w:rsid w:val="00C05E4C"/>
    <w:rsid w:val="00C060C9"/>
    <w:rsid w:val="00C06C79"/>
    <w:rsid w:val="00C06ECF"/>
    <w:rsid w:val="00C0705F"/>
    <w:rsid w:val="00C07277"/>
    <w:rsid w:val="00C1093B"/>
    <w:rsid w:val="00C10CE8"/>
    <w:rsid w:val="00C137D4"/>
    <w:rsid w:val="00C153D7"/>
    <w:rsid w:val="00C155C3"/>
    <w:rsid w:val="00C16387"/>
    <w:rsid w:val="00C20062"/>
    <w:rsid w:val="00C254D5"/>
    <w:rsid w:val="00C274FE"/>
    <w:rsid w:val="00C278CF"/>
    <w:rsid w:val="00C34E89"/>
    <w:rsid w:val="00C361A7"/>
    <w:rsid w:val="00C45050"/>
    <w:rsid w:val="00C45EF8"/>
    <w:rsid w:val="00C54FD3"/>
    <w:rsid w:val="00C62515"/>
    <w:rsid w:val="00C62FBE"/>
    <w:rsid w:val="00C63325"/>
    <w:rsid w:val="00C642AD"/>
    <w:rsid w:val="00C64594"/>
    <w:rsid w:val="00C64D9E"/>
    <w:rsid w:val="00C65E80"/>
    <w:rsid w:val="00C66D38"/>
    <w:rsid w:val="00C66E84"/>
    <w:rsid w:val="00C67AAF"/>
    <w:rsid w:val="00C71A3D"/>
    <w:rsid w:val="00C729F8"/>
    <w:rsid w:val="00C73055"/>
    <w:rsid w:val="00C755F3"/>
    <w:rsid w:val="00C768A7"/>
    <w:rsid w:val="00C801B6"/>
    <w:rsid w:val="00C83B75"/>
    <w:rsid w:val="00C84375"/>
    <w:rsid w:val="00C869B1"/>
    <w:rsid w:val="00C90952"/>
    <w:rsid w:val="00C929F2"/>
    <w:rsid w:val="00C92F94"/>
    <w:rsid w:val="00C953D7"/>
    <w:rsid w:val="00C96028"/>
    <w:rsid w:val="00CA153E"/>
    <w:rsid w:val="00CA2884"/>
    <w:rsid w:val="00CA65D9"/>
    <w:rsid w:val="00CB0139"/>
    <w:rsid w:val="00CB3996"/>
    <w:rsid w:val="00CB5065"/>
    <w:rsid w:val="00CC252A"/>
    <w:rsid w:val="00CC2780"/>
    <w:rsid w:val="00CC32E5"/>
    <w:rsid w:val="00CC4FDE"/>
    <w:rsid w:val="00CC5499"/>
    <w:rsid w:val="00CC5A12"/>
    <w:rsid w:val="00CD3D59"/>
    <w:rsid w:val="00CE0038"/>
    <w:rsid w:val="00CE6195"/>
    <w:rsid w:val="00CF22CD"/>
    <w:rsid w:val="00D01BC2"/>
    <w:rsid w:val="00D03C43"/>
    <w:rsid w:val="00D1206D"/>
    <w:rsid w:val="00D1209A"/>
    <w:rsid w:val="00D17759"/>
    <w:rsid w:val="00D20104"/>
    <w:rsid w:val="00D32646"/>
    <w:rsid w:val="00D349C8"/>
    <w:rsid w:val="00D34F0B"/>
    <w:rsid w:val="00D41B39"/>
    <w:rsid w:val="00D4290E"/>
    <w:rsid w:val="00D44BCC"/>
    <w:rsid w:val="00D45988"/>
    <w:rsid w:val="00D46D17"/>
    <w:rsid w:val="00D471AC"/>
    <w:rsid w:val="00D47C7F"/>
    <w:rsid w:val="00D55476"/>
    <w:rsid w:val="00D55BEF"/>
    <w:rsid w:val="00D562B3"/>
    <w:rsid w:val="00D57E05"/>
    <w:rsid w:val="00D6057B"/>
    <w:rsid w:val="00D625A2"/>
    <w:rsid w:val="00D630AA"/>
    <w:rsid w:val="00D63553"/>
    <w:rsid w:val="00D63D36"/>
    <w:rsid w:val="00D644B3"/>
    <w:rsid w:val="00D66A3A"/>
    <w:rsid w:val="00D67962"/>
    <w:rsid w:val="00D67D79"/>
    <w:rsid w:val="00D700DE"/>
    <w:rsid w:val="00D72CCF"/>
    <w:rsid w:val="00D760B8"/>
    <w:rsid w:val="00D76872"/>
    <w:rsid w:val="00D81745"/>
    <w:rsid w:val="00D85720"/>
    <w:rsid w:val="00D87A1D"/>
    <w:rsid w:val="00D87AF6"/>
    <w:rsid w:val="00D9255E"/>
    <w:rsid w:val="00D9290C"/>
    <w:rsid w:val="00D95550"/>
    <w:rsid w:val="00DA08EF"/>
    <w:rsid w:val="00DA40B4"/>
    <w:rsid w:val="00DA56EA"/>
    <w:rsid w:val="00DB3BBD"/>
    <w:rsid w:val="00DB6313"/>
    <w:rsid w:val="00DC565A"/>
    <w:rsid w:val="00DC76F3"/>
    <w:rsid w:val="00DC7F0D"/>
    <w:rsid w:val="00DD0353"/>
    <w:rsid w:val="00DD16DF"/>
    <w:rsid w:val="00DD47D4"/>
    <w:rsid w:val="00DD4ACD"/>
    <w:rsid w:val="00DE01A2"/>
    <w:rsid w:val="00DE1A4F"/>
    <w:rsid w:val="00DE31F6"/>
    <w:rsid w:val="00DE4343"/>
    <w:rsid w:val="00DE47C0"/>
    <w:rsid w:val="00DE68B7"/>
    <w:rsid w:val="00DE768F"/>
    <w:rsid w:val="00DF40A0"/>
    <w:rsid w:val="00DF493C"/>
    <w:rsid w:val="00DF5F52"/>
    <w:rsid w:val="00E027F4"/>
    <w:rsid w:val="00E11367"/>
    <w:rsid w:val="00E13D5F"/>
    <w:rsid w:val="00E13ECE"/>
    <w:rsid w:val="00E1407F"/>
    <w:rsid w:val="00E14789"/>
    <w:rsid w:val="00E14A08"/>
    <w:rsid w:val="00E14B71"/>
    <w:rsid w:val="00E21CBE"/>
    <w:rsid w:val="00E23257"/>
    <w:rsid w:val="00E2407F"/>
    <w:rsid w:val="00E263B4"/>
    <w:rsid w:val="00E30710"/>
    <w:rsid w:val="00E309EC"/>
    <w:rsid w:val="00E31DE9"/>
    <w:rsid w:val="00E32BAE"/>
    <w:rsid w:val="00E41752"/>
    <w:rsid w:val="00E44F32"/>
    <w:rsid w:val="00E45AA3"/>
    <w:rsid w:val="00E4607C"/>
    <w:rsid w:val="00E46B89"/>
    <w:rsid w:val="00E47AA1"/>
    <w:rsid w:val="00E511D3"/>
    <w:rsid w:val="00E5655D"/>
    <w:rsid w:val="00E57310"/>
    <w:rsid w:val="00E60F43"/>
    <w:rsid w:val="00E61CDA"/>
    <w:rsid w:val="00E660B4"/>
    <w:rsid w:val="00E71688"/>
    <w:rsid w:val="00E73E15"/>
    <w:rsid w:val="00E74414"/>
    <w:rsid w:val="00E747D1"/>
    <w:rsid w:val="00E7522F"/>
    <w:rsid w:val="00E802D4"/>
    <w:rsid w:val="00E840F9"/>
    <w:rsid w:val="00E84B1F"/>
    <w:rsid w:val="00E92AC7"/>
    <w:rsid w:val="00E97D5D"/>
    <w:rsid w:val="00EA2C77"/>
    <w:rsid w:val="00EA38D1"/>
    <w:rsid w:val="00EA3BA2"/>
    <w:rsid w:val="00EA3C08"/>
    <w:rsid w:val="00EA569E"/>
    <w:rsid w:val="00EB56CC"/>
    <w:rsid w:val="00EB6907"/>
    <w:rsid w:val="00EC1C93"/>
    <w:rsid w:val="00ED3CC1"/>
    <w:rsid w:val="00ED4F6F"/>
    <w:rsid w:val="00EE04CF"/>
    <w:rsid w:val="00EE0549"/>
    <w:rsid w:val="00EE26B3"/>
    <w:rsid w:val="00EE2FCC"/>
    <w:rsid w:val="00EE3928"/>
    <w:rsid w:val="00EE3F50"/>
    <w:rsid w:val="00EE41AD"/>
    <w:rsid w:val="00EE5A8A"/>
    <w:rsid w:val="00EE775C"/>
    <w:rsid w:val="00EF0AF4"/>
    <w:rsid w:val="00F0057C"/>
    <w:rsid w:val="00F00D30"/>
    <w:rsid w:val="00F045AE"/>
    <w:rsid w:val="00F0727E"/>
    <w:rsid w:val="00F110D4"/>
    <w:rsid w:val="00F116AA"/>
    <w:rsid w:val="00F1416D"/>
    <w:rsid w:val="00F14B2B"/>
    <w:rsid w:val="00F15EAF"/>
    <w:rsid w:val="00F221DB"/>
    <w:rsid w:val="00F26B15"/>
    <w:rsid w:val="00F26F6B"/>
    <w:rsid w:val="00F278D3"/>
    <w:rsid w:val="00F307FB"/>
    <w:rsid w:val="00F32720"/>
    <w:rsid w:val="00F35A7F"/>
    <w:rsid w:val="00F40AB8"/>
    <w:rsid w:val="00F4169E"/>
    <w:rsid w:val="00F423D4"/>
    <w:rsid w:val="00F42CB3"/>
    <w:rsid w:val="00F45A9F"/>
    <w:rsid w:val="00F46312"/>
    <w:rsid w:val="00F46341"/>
    <w:rsid w:val="00F50B4D"/>
    <w:rsid w:val="00F5248C"/>
    <w:rsid w:val="00F534CF"/>
    <w:rsid w:val="00F53FED"/>
    <w:rsid w:val="00F556B6"/>
    <w:rsid w:val="00F5605E"/>
    <w:rsid w:val="00F5668A"/>
    <w:rsid w:val="00F578FD"/>
    <w:rsid w:val="00F644FB"/>
    <w:rsid w:val="00F64C26"/>
    <w:rsid w:val="00F65836"/>
    <w:rsid w:val="00F66A38"/>
    <w:rsid w:val="00F675DC"/>
    <w:rsid w:val="00F72A89"/>
    <w:rsid w:val="00F7417C"/>
    <w:rsid w:val="00F843CF"/>
    <w:rsid w:val="00F90CAC"/>
    <w:rsid w:val="00F952D6"/>
    <w:rsid w:val="00FA3B70"/>
    <w:rsid w:val="00FA518D"/>
    <w:rsid w:val="00FB077C"/>
    <w:rsid w:val="00FB3232"/>
    <w:rsid w:val="00FB3F36"/>
    <w:rsid w:val="00FB4140"/>
    <w:rsid w:val="00FB4B5C"/>
    <w:rsid w:val="00FB6B20"/>
    <w:rsid w:val="00FC5473"/>
    <w:rsid w:val="00FC5F36"/>
    <w:rsid w:val="00FC63FB"/>
    <w:rsid w:val="00FC6880"/>
    <w:rsid w:val="00FC75FC"/>
    <w:rsid w:val="00FC7BE1"/>
    <w:rsid w:val="00FD0A93"/>
    <w:rsid w:val="00FD14AC"/>
    <w:rsid w:val="00FD1996"/>
    <w:rsid w:val="00FD2A52"/>
    <w:rsid w:val="00FD4AF7"/>
    <w:rsid w:val="00FD5304"/>
    <w:rsid w:val="00FD68F5"/>
    <w:rsid w:val="00FE1F3A"/>
    <w:rsid w:val="00FF3A23"/>
    <w:rsid w:val="00FF6E44"/>
    <w:rsid w:val="00FF76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C7B"/>
    <w:rPr>
      <w:sz w:val="24"/>
    </w:rPr>
  </w:style>
  <w:style w:type="paragraph" w:styleId="Heading1">
    <w:name w:val="heading 1"/>
    <w:basedOn w:val="Normal"/>
    <w:next w:val="Normal"/>
    <w:qFormat/>
    <w:rsid w:val="00950C7B"/>
    <w:pPr>
      <w:keepNext/>
      <w:framePr w:w="5949" w:h="721" w:hSpace="180" w:wrap="around" w:vAnchor="text" w:hAnchor="page" w:x="4753" w:y="151"/>
      <w:jc w:val="right"/>
      <w:outlineLvl w:val="0"/>
    </w:pPr>
    <w:rPr>
      <w:b/>
      <w:i/>
      <w:color w:val="FFFFFF"/>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0C7B"/>
    <w:pPr>
      <w:tabs>
        <w:tab w:val="center" w:pos="4153"/>
        <w:tab w:val="right" w:pos="8306"/>
      </w:tabs>
    </w:pPr>
  </w:style>
  <w:style w:type="paragraph" w:styleId="Caption">
    <w:name w:val="caption"/>
    <w:basedOn w:val="Normal"/>
    <w:next w:val="Normal"/>
    <w:qFormat/>
    <w:rsid w:val="00950C7B"/>
    <w:pPr>
      <w:framePr w:w="3425" w:h="389" w:hSpace="180" w:wrap="around" w:vAnchor="text" w:hAnchor="page" w:x="1297" w:y="228"/>
    </w:pPr>
    <w:rPr>
      <w:b/>
      <w:color w:val="FFFFFF"/>
    </w:rPr>
  </w:style>
  <w:style w:type="paragraph" w:styleId="FootnoteText">
    <w:name w:val="footnote text"/>
    <w:basedOn w:val="Normal"/>
    <w:semiHidden/>
    <w:rsid w:val="00950C7B"/>
    <w:rPr>
      <w:sz w:val="20"/>
    </w:rPr>
  </w:style>
  <w:style w:type="paragraph" w:styleId="Footer">
    <w:name w:val="footer"/>
    <w:basedOn w:val="Normal"/>
    <w:link w:val="FooterChar"/>
    <w:uiPriority w:val="99"/>
    <w:rsid w:val="00585AAF"/>
    <w:pPr>
      <w:tabs>
        <w:tab w:val="center" w:pos="4320"/>
        <w:tab w:val="right" w:pos="8640"/>
      </w:tabs>
    </w:pPr>
  </w:style>
  <w:style w:type="character" w:styleId="FootnoteReference">
    <w:name w:val="footnote reference"/>
    <w:basedOn w:val="DefaultParagraphFont"/>
    <w:semiHidden/>
    <w:rsid w:val="005159AA"/>
    <w:rPr>
      <w:vertAlign w:val="superscript"/>
    </w:rPr>
  </w:style>
  <w:style w:type="character" w:customStyle="1" w:styleId="FooterChar">
    <w:name w:val="Footer Char"/>
    <w:basedOn w:val="DefaultParagraphFont"/>
    <w:link w:val="Footer"/>
    <w:uiPriority w:val="99"/>
    <w:rsid w:val="00D55BEF"/>
    <w:rPr>
      <w:sz w:val="24"/>
    </w:rPr>
  </w:style>
  <w:style w:type="paragraph" w:styleId="BalloonText">
    <w:name w:val="Balloon Text"/>
    <w:basedOn w:val="Normal"/>
    <w:semiHidden/>
    <w:rsid w:val="00C361A7"/>
    <w:rPr>
      <w:rFonts w:ascii="Tahoma" w:hAnsi="Tahoma" w:cs="Tahoma"/>
      <w:sz w:val="16"/>
      <w:szCs w:val="16"/>
    </w:rPr>
  </w:style>
  <w:style w:type="character" w:styleId="Hyperlink">
    <w:name w:val="Hyperlink"/>
    <w:basedOn w:val="DefaultParagraphFont"/>
    <w:uiPriority w:val="99"/>
    <w:unhideWhenUsed/>
    <w:rsid w:val="00C20062"/>
    <w:rPr>
      <w:color w:val="0000FF"/>
      <w:u w:val="single"/>
    </w:rPr>
  </w:style>
  <w:style w:type="paragraph" w:styleId="ListParagraph">
    <w:name w:val="List Paragraph"/>
    <w:basedOn w:val="Normal"/>
    <w:uiPriority w:val="34"/>
    <w:qFormat/>
    <w:rsid w:val="00F35A7F"/>
    <w:pPr>
      <w:ind w:left="720"/>
      <w:contextualSpacing/>
    </w:pPr>
  </w:style>
  <w:style w:type="character" w:styleId="CommentReference">
    <w:name w:val="annotation reference"/>
    <w:basedOn w:val="DefaultParagraphFont"/>
    <w:rsid w:val="00CA65D9"/>
    <w:rPr>
      <w:sz w:val="16"/>
      <w:szCs w:val="16"/>
    </w:rPr>
  </w:style>
  <w:style w:type="paragraph" w:styleId="CommentText">
    <w:name w:val="annotation text"/>
    <w:basedOn w:val="Normal"/>
    <w:link w:val="CommentTextChar"/>
    <w:rsid w:val="00CA65D9"/>
    <w:rPr>
      <w:sz w:val="20"/>
    </w:rPr>
  </w:style>
  <w:style w:type="character" w:customStyle="1" w:styleId="CommentTextChar">
    <w:name w:val="Comment Text Char"/>
    <w:basedOn w:val="DefaultParagraphFont"/>
    <w:link w:val="CommentText"/>
    <w:rsid w:val="00CA65D9"/>
  </w:style>
  <w:style w:type="paragraph" w:styleId="CommentSubject">
    <w:name w:val="annotation subject"/>
    <w:basedOn w:val="CommentText"/>
    <w:next w:val="CommentText"/>
    <w:link w:val="CommentSubjectChar"/>
    <w:rsid w:val="00CA65D9"/>
    <w:rPr>
      <w:b/>
      <w:bCs/>
    </w:rPr>
  </w:style>
  <w:style w:type="character" w:customStyle="1" w:styleId="CommentSubjectChar">
    <w:name w:val="Comment Subject Char"/>
    <w:basedOn w:val="CommentTextChar"/>
    <w:link w:val="CommentSubject"/>
    <w:rsid w:val="00CA65D9"/>
    <w:rPr>
      <w:b/>
      <w:bCs/>
    </w:rPr>
  </w:style>
</w:styles>
</file>

<file path=word/webSettings.xml><?xml version="1.0" encoding="utf-8"?>
<w:webSettings xmlns:r="http://schemas.openxmlformats.org/officeDocument/2006/relationships" xmlns:w="http://schemas.openxmlformats.org/wordprocessingml/2006/main">
  <w:divs>
    <w:div w:id="259069151">
      <w:bodyDiv w:val="1"/>
      <w:marLeft w:val="0"/>
      <w:marRight w:val="0"/>
      <w:marTop w:val="0"/>
      <w:marBottom w:val="0"/>
      <w:divBdr>
        <w:top w:val="none" w:sz="0" w:space="0" w:color="auto"/>
        <w:left w:val="none" w:sz="0" w:space="0" w:color="auto"/>
        <w:bottom w:val="none" w:sz="0" w:space="0" w:color="auto"/>
        <w:right w:val="none" w:sz="0" w:space="0" w:color="auto"/>
      </w:divBdr>
    </w:div>
    <w:div w:id="669480845">
      <w:bodyDiv w:val="1"/>
      <w:marLeft w:val="0"/>
      <w:marRight w:val="0"/>
      <w:marTop w:val="0"/>
      <w:marBottom w:val="0"/>
      <w:divBdr>
        <w:top w:val="none" w:sz="0" w:space="0" w:color="auto"/>
        <w:left w:val="none" w:sz="0" w:space="0" w:color="auto"/>
        <w:bottom w:val="none" w:sz="0" w:space="0" w:color="auto"/>
        <w:right w:val="none" w:sz="0" w:space="0" w:color="auto"/>
      </w:divBdr>
    </w:div>
    <w:div w:id="18702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ESS%20RELEASE%20-%20TEMPLATE%20UPDATED%2011%20JUNE%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94D2D-940A-4052-897D-F86DD90D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 TEMPLATE UPDATED 11 JUNE 2014</Template>
  <TotalTime>1</TotalTime>
  <Pages>2</Pages>
  <Words>649</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THIS STATEMENT IS ISSUED ON THE STRICT UNDERSTANDING THAT IT IS NOT FOR PUBLICATION OR BROADCAST BEFORE 00</vt:lpstr>
    </vt:vector>
  </TitlesOfParts>
  <Company>niao</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STATEMENT IS ISSUED ON THE STRICT UNDERSTANDING THAT IT IS NOT FOR PUBLICATION OR BROADCAST BEFORE 00</dc:title>
  <dc:creator>Karen Beattie</dc:creator>
  <cp:lastModifiedBy>Norma Connelly</cp:lastModifiedBy>
  <cp:revision>2</cp:revision>
  <cp:lastPrinted>2014-11-06T10:59:00Z</cp:lastPrinted>
  <dcterms:created xsi:type="dcterms:W3CDTF">2014-11-06T11:45:00Z</dcterms:created>
  <dcterms:modified xsi:type="dcterms:W3CDTF">2014-11-06T11:45:00Z</dcterms:modified>
</cp:coreProperties>
</file>