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48" w:rsidRDefault="00490548" w:rsidP="007B47A9">
      <w:pPr>
        <w:pStyle w:val="NoSpacing"/>
        <w:ind w:left="360"/>
        <w:jc w:val="center"/>
        <w:rPr>
          <w:b/>
          <w:sz w:val="26"/>
          <w:szCs w:val="26"/>
        </w:rPr>
      </w:pPr>
      <w:bookmarkStart w:id="0" w:name="_GoBack"/>
      <w:bookmarkEnd w:id="0"/>
    </w:p>
    <w:p w:rsidR="00D771BE" w:rsidRDefault="007B47A9" w:rsidP="007B47A9">
      <w:pPr>
        <w:pStyle w:val="NoSpacing"/>
        <w:ind w:left="360"/>
        <w:jc w:val="center"/>
        <w:rPr>
          <w:b/>
          <w:sz w:val="26"/>
          <w:szCs w:val="26"/>
        </w:rPr>
      </w:pPr>
      <w:r w:rsidRPr="00D27A02">
        <w:rPr>
          <w:b/>
          <w:sz w:val="26"/>
          <w:szCs w:val="26"/>
        </w:rPr>
        <w:t>Minutes of Audit and Risk Assurance Committee</w:t>
      </w:r>
      <w:r w:rsidR="00D771BE">
        <w:rPr>
          <w:b/>
          <w:sz w:val="26"/>
          <w:szCs w:val="26"/>
        </w:rPr>
        <w:t xml:space="preserve"> (ARAC)</w:t>
      </w:r>
    </w:p>
    <w:p w:rsidR="00A1429A" w:rsidRPr="00D27A02" w:rsidRDefault="007B47A9" w:rsidP="00D771BE">
      <w:pPr>
        <w:pStyle w:val="NoSpacing"/>
        <w:ind w:left="360"/>
        <w:jc w:val="center"/>
        <w:rPr>
          <w:b/>
          <w:sz w:val="26"/>
          <w:szCs w:val="26"/>
        </w:rPr>
      </w:pPr>
      <w:r w:rsidRPr="00D27A02">
        <w:rPr>
          <w:b/>
          <w:sz w:val="26"/>
          <w:szCs w:val="26"/>
        </w:rPr>
        <w:t xml:space="preserve"> </w:t>
      </w:r>
      <w:r w:rsidR="00D771BE" w:rsidRPr="00D27A02">
        <w:rPr>
          <w:b/>
          <w:sz w:val="26"/>
          <w:szCs w:val="26"/>
        </w:rPr>
        <w:t>M</w:t>
      </w:r>
      <w:r w:rsidRPr="00D27A02">
        <w:rPr>
          <w:b/>
          <w:sz w:val="26"/>
          <w:szCs w:val="26"/>
        </w:rPr>
        <w:t>eeting</w:t>
      </w:r>
      <w:r w:rsidR="00D771BE">
        <w:rPr>
          <w:b/>
          <w:sz w:val="26"/>
          <w:szCs w:val="26"/>
        </w:rPr>
        <w:t xml:space="preserve"> </w:t>
      </w:r>
      <w:r w:rsidR="003E7AD8">
        <w:rPr>
          <w:b/>
          <w:sz w:val="26"/>
          <w:szCs w:val="26"/>
        </w:rPr>
        <w:t>Tuesday 5 May 2020</w:t>
      </w:r>
      <w:r w:rsidR="00F1037A" w:rsidRPr="00D27A02">
        <w:rPr>
          <w:b/>
          <w:sz w:val="26"/>
          <w:szCs w:val="26"/>
        </w:rPr>
        <w:t xml:space="preserve"> at </w:t>
      </w:r>
      <w:r w:rsidR="008E5C0D" w:rsidRPr="00D27A02">
        <w:rPr>
          <w:b/>
          <w:sz w:val="26"/>
          <w:szCs w:val="26"/>
        </w:rPr>
        <w:t>11</w:t>
      </w:r>
      <w:r w:rsidR="009F35F9" w:rsidRPr="00D27A02">
        <w:rPr>
          <w:b/>
          <w:sz w:val="26"/>
          <w:szCs w:val="26"/>
        </w:rPr>
        <w:t>.30</w:t>
      </w:r>
      <w:r w:rsidR="002E6DF5">
        <w:rPr>
          <w:b/>
          <w:sz w:val="26"/>
          <w:szCs w:val="26"/>
        </w:rPr>
        <w:t xml:space="preserve"> </w:t>
      </w:r>
      <w:r w:rsidR="008116E7" w:rsidRPr="00D27A02">
        <w:rPr>
          <w:b/>
          <w:sz w:val="26"/>
          <w:szCs w:val="26"/>
        </w:rPr>
        <w:t>a</w:t>
      </w:r>
      <w:r w:rsidR="002E6DF5">
        <w:rPr>
          <w:b/>
          <w:sz w:val="26"/>
          <w:szCs w:val="26"/>
        </w:rPr>
        <w:t>.</w:t>
      </w:r>
      <w:r w:rsidR="008116E7" w:rsidRPr="00D27A02">
        <w:rPr>
          <w:b/>
          <w:sz w:val="26"/>
          <w:szCs w:val="26"/>
        </w:rPr>
        <w:t>m</w:t>
      </w:r>
      <w:r w:rsidR="002E6DF5">
        <w:rPr>
          <w:b/>
          <w:sz w:val="26"/>
          <w:szCs w:val="26"/>
        </w:rPr>
        <w:t>.</w:t>
      </w:r>
    </w:p>
    <w:p w:rsidR="0027669F" w:rsidRDefault="0027669F" w:rsidP="0027669F">
      <w:pPr>
        <w:spacing w:after="0" w:line="240" w:lineRule="auto"/>
      </w:pPr>
    </w:p>
    <w:p w:rsidR="000920BA" w:rsidRDefault="0027669F" w:rsidP="0027669F">
      <w:pPr>
        <w:spacing w:after="0" w:line="240" w:lineRule="auto"/>
      </w:pPr>
      <w:r w:rsidRPr="00D27A02">
        <w:rPr>
          <w:b/>
        </w:rPr>
        <w:t>Members Present:</w:t>
      </w:r>
      <w:r w:rsidR="009F35F9">
        <w:tab/>
      </w:r>
      <w:r w:rsidR="000920BA">
        <w:t>Noel Hyndman</w:t>
      </w:r>
      <w:r w:rsidR="009B4BA9">
        <w:t xml:space="preserve"> (Chair)</w:t>
      </w:r>
    </w:p>
    <w:p w:rsidR="000920BA" w:rsidRDefault="000920BA" w:rsidP="0027669F">
      <w:pPr>
        <w:spacing w:after="0" w:line="240" w:lineRule="auto"/>
      </w:pPr>
      <w:r>
        <w:tab/>
      </w:r>
      <w:r>
        <w:tab/>
      </w:r>
      <w:r>
        <w:tab/>
        <w:t>Marie Mallon</w:t>
      </w:r>
    </w:p>
    <w:p w:rsidR="0027669F" w:rsidRDefault="009F35F9" w:rsidP="0027669F">
      <w:pPr>
        <w:spacing w:after="0" w:line="240" w:lineRule="auto"/>
      </w:pPr>
      <w:r>
        <w:tab/>
      </w:r>
      <w:r>
        <w:tab/>
      </w:r>
      <w:r>
        <w:tab/>
      </w:r>
      <w:r w:rsidR="000920BA">
        <w:t>John Turkington</w:t>
      </w:r>
    </w:p>
    <w:p w:rsidR="0027669F" w:rsidRDefault="0027669F" w:rsidP="0027669F">
      <w:pPr>
        <w:spacing w:after="0" w:line="240" w:lineRule="auto"/>
      </w:pPr>
    </w:p>
    <w:p w:rsidR="00F62961" w:rsidRPr="00F62961" w:rsidRDefault="004356CF" w:rsidP="00F62961">
      <w:pPr>
        <w:spacing w:after="0" w:line="240" w:lineRule="auto"/>
      </w:pPr>
      <w:r w:rsidRPr="00D27A02">
        <w:rPr>
          <w:b/>
        </w:rPr>
        <w:t>In Attendance:</w:t>
      </w:r>
      <w:r w:rsidRPr="00D27A02">
        <w:rPr>
          <w:b/>
        </w:rPr>
        <w:tab/>
      </w:r>
      <w:r>
        <w:tab/>
      </w:r>
      <w:r w:rsidR="00F62961" w:rsidRPr="00F62961">
        <w:t>Martin Pitt</w:t>
      </w:r>
      <w:r w:rsidR="00F62961">
        <w:t xml:space="preserve"> (Chair Advisory Board - at the invitation of the Chair of ARAC) </w:t>
      </w:r>
    </w:p>
    <w:p w:rsidR="0027669F" w:rsidRDefault="0027669F" w:rsidP="009F35F9">
      <w:pPr>
        <w:spacing w:after="0" w:line="240" w:lineRule="auto"/>
        <w:ind w:left="1440" w:firstLine="720"/>
      </w:pPr>
      <w:r>
        <w:t>Pamela McCreedy (Chief Operating Officer)</w:t>
      </w:r>
    </w:p>
    <w:p w:rsidR="0027669F" w:rsidRDefault="0027669F" w:rsidP="0027669F">
      <w:pPr>
        <w:spacing w:after="0" w:line="240" w:lineRule="auto"/>
      </w:pPr>
      <w:r>
        <w:tab/>
      </w:r>
      <w:r>
        <w:tab/>
      </w:r>
      <w:r>
        <w:tab/>
        <w:t>Rodney Allen (Director)</w:t>
      </w:r>
    </w:p>
    <w:p w:rsidR="00750E3A" w:rsidRDefault="0027669F" w:rsidP="0027669F">
      <w:pPr>
        <w:spacing w:after="0" w:line="240" w:lineRule="auto"/>
      </w:pPr>
      <w:r>
        <w:tab/>
      </w:r>
      <w:r>
        <w:tab/>
      </w:r>
      <w:r>
        <w:tab/>
        <w:t>Cole</w:t>
      </w:r>
      <w:r w:rsidR="00732EFC">
        <w:t>tte Kane (Director)</w:t>
      </w:r>
      <w:r w:rsidR="008640BF">
        <w:t xml:space="preserve"> –</w:t>
      </w:r>
      <w:r w:rsidR="009F35F9">
        <w:t>agenda item 4</w:t>
      </w:r>
    </w:p>
    <w:p w:rsidR="004A1986" w:rsidRDefault="009F35F9" w:rsidP="0027669F">
      <w:pPr>
        <w:spacing w:after="0" w:line="240" w:lineRule="auto"/>
      </w:pPr>
      <w:r>
        <w:tab/>
      </w:r>
      <w:r>
        <w:tab/>
      </w:r>
      <w:r>
        <w:tab/>
      </w:r>
      <w:r w:rsidR="004A1986" w:rsidRPr="004A1986">
        <w:t>Br</w:t>
      </w:r>
      <w:r w:rsidR="00F1037A">
        <w:t>ian</w:t>
      </w:r>
      <w:r w:rsidR="004A1986" w:rsidRPr="004A1986">
        <w:t xml:space="preserve"> McFetridge </w:t>
      </w:r>
      <w:r w:rsidR="00843A5D">
        <w:t xml:space="preserve">– External Audit </w:t>
      </w:r>
    </w:p>
    <w:p w:rsidR="004A1986" w:rsidRPr="004A1986" w:rsidRDefault="00732EFC" w:rsidP="004356CF">
      <w:pPr>
        <w:spacing w:after="0" w:line="240" w:lineRule="auto"/>
      </w:pPr>
      <w:r>
        <w:tab/>
      </w:r>
      <w:r>
        <w:tab/>
      </w:r>
      <w:r>
        <w:tab/>
      </w:r>
      <w:r w:rsidR="003E767C">
        <w:t>Lee Glover</w:t>
      </w:r>
      <w:r w:rsidR="00843A5D">
        <w:t xml:space="preserve"> – Internal </w:t>
      </w:r>
      <w:r w:rsidR="003E7AD8">
        <w:t>Audit</w:t>
      </w:r>
    </w:p>
    <w:p w:rsidR="004356CF" w:rsidRDefault="009D0FCE" w:rsidP="008F4923">
      <w:pPr>
        <w:spacing w:after="0" w:line="240" w:lineRule="auto"/>
        <w:ind w:left="1440" w:firstLine="720"/>
      </w:pPr>
      <w:r>
        <w:t>Louise Donnelly (</w:t>
      </w:r>
      <w:r w:rsidR="00D15831">
        <w:t xml:space="preserve">Committee </w:t>
      </w:r>
      <w:r w:rsidR="00D23912">
        <w:t>Secretary</w:t>
      </w:r>
      <w:r>
        <w:t>)</w:t>
      </w:r>
      <w:r w:rsidR="00574970">
        <w:tab/>
      </w:r>
    </w:p>
    <w:p w:rsidR="0027669F" w:rsidRDefault="00574970" w:rsidP="00C514B8">
      <w:pPr>
        <w:spacing w:after="0" w:line="240" w:lineRule="auto"/>
        <w:ind w:left="1440" w:firstLine="720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669F" w:rsidTr="0027669F">
        <w:tc>
          <w:tcPr>
            <w:tcW w:w="9016" w:type="dxa"/>
          </w:tcPr>
          <w:p w:rsidR="003E7AD8" w:rsidRPr="00F8596D" w:rsidRDefault="003E7AD8" w:rsidP="003E7AD8">
            <w:pPr>
              <w:ind w:left="313"/>
              <w:rPr>
                <w:rFonts w:cstheme="minorHAnsi"/>
                <w:b/>
              </w:rPr>
            </w:pPr>
            <w:r w:rsidRPr="00F8596D">
              <w:rPr>
                <w:rFonts w:cstheme="minorHAnsi"/>
                <w:b/>
                <w:u w:val="single"/>
              </w:rPr>
              <w:t>In line with official Government advice all Northern Ireland Audit Office staff are currently working from home until further notice.  This meeting was conducted remotely online</w:t>
            </w:r>
            <w:r w:rsidRPr="00F8596D">
              <w:rPr>
                <w:rFonts w:cstheme="minorHAnsi"/>
                <w:b/>
              </w:rPr>
              <w:t>.</w:t>
            </w:r>
          </w:p>
          <w:p w:rsidR="003E7AD8" w:rsidRDefault="003E7AD8" w:rsidP="003E7AD8"/>
          <w:p w:rsidR="009D0FCE" w:rsidRDefault="00436D43" w:rsidP="00735D71">
            <w:pPr>
              <w:ind w:left="313"/>
            </w:pPr>
            <w:r>
              <w:t>The Chair w</w:t>
            </w:r>
            <w:r w:rsidR="003E7AD8">
              <w:t>elcomed me</w:t>
            </w:r>
            <w:r w:rsidR="00735D71">
              <w:t>mbers to the meeting</w:t>
            </w:r>
            <w:r w:rsidR="003E7AD8">
              <w:t>.</w:t>
            </w:r>
            <w:r w:rsidR="0012607A">
              <w:br/>
            </w:r>
            <w:r w:rsidR="0094417A">
              <w:tab/>
            </w:r>
          </w:p>
        </w:tc>
      </w:tr>
      <w:tr w:rsidR="001B4698" w:rsidTr="001B4698">
        <w:tc>
          <w:tcPr>
            <w:tcW w:w="9016" w:type="dxa"/>
          </w:tcPr>
          <w:p w:rsidR="001B4698" w:rsidRPr="001B4698" w:rsidRDefault="001B4698" w:rsidP="00EF7EEF">
            <w:pPr>
              <w:pStyle w:val="ListParagraph"/>
              <w:numPr>
                <w:ilvl w:val="0"/>
                <w:numId w:val="11"/>
              </w:numPr>
              <w:ind w:left="313"/>
              <w:rPr>
                <w:b/>
              </w:rPr>
            </w:pPr>
            <w:r>
              <w:rPr>
                <w:b/>
              </w:rPr>
              <w:t>Apologies</w:t>
            </w:r>
          </w:p>
          <w:p w:rsidR="001B4698" w:rsidRPr="001B4698" w:rsidRDefault="008F4923" w:rsidP="00EF7EEF">
            <w:pPr>
              <w:ind w:left="313"/>
            </w:pPr>
            <w:r>
              <w:t>No apologies were noted.</w:t>
            </w:r>
            <w:r w:rsidR="003F4623">
              <w:t xml:space="preserve">  </w:t>
            </w:r>
          </w:p>
          <w:p w:rsidR="001B4698" w:rsidRDefault="001B4698" w:rsidP="00EF7EEF">
            <w:pPr>
              <w:ind w:left="313"/>
            </w:pPr>
          </w:p>
        </w:tc>
      </w:tr>
      <w:tr w:rsidR="00E511E5" w:rsidTr="0027669F">
        <w:tc>
          <w:tcPr>
            <w:tcW w:w="9016" w:type="dxa"/>
          </w:tcPr>
          <w:p w:rsidR="00E511E5" w:rsidRDefault="0033717C" w:rsidP="00EF7EEF">
            <w:pPr>
              <w:pStyle w:val="ListParagraph"/>
              <w:numPr>
                <w:ilvl w:val="0"/>
                <w:numId w:val="11"/>
              </w:numPr>
              <w:ind w:left="313"/>
              <w:rPr>
                <w:b/>
              </w:rPr>
            </w:pPr>
            <w:r>
              <w:rPr>
                <w:b/>
              </w:rPr>
              <w:t>Declaration of Conflicts of Interest</w:t>
            </w:r>
          </w:p>
          <w:p w:rsidR="00E511E5" w:rsidRDefault="00E511E5" w:rsidP="00EF7EEF">
            <w:pPr>
              <w:pStyle w:val="ListParagraph"/>
              <w:ind w:left="313"/>
            </w:pPr>
            <w:r>
              <w:t>Ther</w:t>
            </w:r>
            <w:r w:rsidR="00732EFC">
              <w:t>e were no issues declared by</w:t>
            </w:r>
            <w:r>
              <w:t xml:space="preserve"> Committee members or attendees</w:t>
            </w:r>
            <w:r w:rsidR="009F35F9">
              <w:t>.</w:t>
            </w:r>
          </w:p>
          <w:p w:rsidR="00E511E5" w:rsidRPr="00E511E5" w:rsidRDefault="00E511E5" w:rsidP="00EF7EEF">
            <w:pPr>
              <w:pStyle w:val="ListParagraph"/>
              <w:ind w:left="313"/>
            </w:pPr>
          </w:p>
        </w:tc>
      </w:tr>
      <w:tr w:rsidR="004A1986" w:rsidTr="0027669F">
        <w:tc>
          <w:tcPr>
            <w:tcW w:w="9016" w:type="dxa"/>
          </w:tcPr>
          <w:p w:rsidR="00E65F78" w:rsidRPr="0089048F" w:rsidRDefault="0089048F" w:rsidP="00EF7EEF">
            <w:pPr>
              <w:pStyle w:val="ListParagraph"/>
              <w:numPr>
                <w:ilvl w:val="0"/>
                <w:numId w:val="11"/>
              </w:numPr>
              <w:ind w:left="313"/>
              <w:rPr>
                <w:b/>
              </w:rPr>
            </w:pPr>
            <w:r>
              <w:rPr>
                <w:b/>
              </w:rPr>
              <w:t xml:space="preserve">Minutes of Meeting held on </w:t>
            </w:r>
            <w:r w:rsidR="003E767C">
              <w:rPr>
                <w:b/>
              </w:rPr>
              <w:t>28 January 2020</w:t>
            </w:r>
            <w:r w:rsidR="000C689D">
              <w:rPr>
                <w:b/>
              </w:rPr>
              <w:t xml:space="preserve"> </w:t>
            </w:r>
            <w:r w:rsidR="00083784">
              <w:rPr>
                <w:b/>
              </w:rPr>
              <w:t>and Matters Arising</w:t>
            </w:r>
          </w:p>
          <w:p w:rsidR="002F045C" w:rsidRDefault="007E694B" w:rsidP="00EF7EEF">
            <w:pPr>
              <w:pStyle w:val="ListParagraph"/>
              <w:ind w:left="313"/>
            </w:pPr>
            <w:r>
              <w:t>M</w:t>
            </w:r>
            <w:r w:rsidR="0025674F">
              <w:t>inute</w:t>
            </w:r>
            <w:r w:rsidR="00562575">
              <w:t>s of the meeting</w:t>
            </w:r>
            <w:r w:rsidR="008C56B5">
              <w:t xml:space="preserve"> held</w:t>
            </w:r>
            <w:r w:rsidR="00022FE5">
              <w:t xml:space="preserve"> </w:t>
            </w:r>
            <w:r w:rsidR="008C56B5">
              <w:t xml:space="preserve">on </w:t>
            </w:r>
            <w:r w:rsidR="003E7AD8">
              <w:t xml:space="preserve">28 January 2020 </w:t>
            </w:r>
            <w:r>
              <w:t>were agreed</w:t>
            </w:r>
            <w:r w:rsidR="003E7AD8">
              <w:t xml:space="preserve"> subject to minor amendment</w:t>
            </w:r>
            <w:r w:rsidR="00A60E25">
              <w:t>.</w:t>
            </w:r>
            <w:r>
              <w:t xml:space="preserve"> </w:t>
            </w:r>
            <w:r w:rsidR="00A60E25">
              <w:t xml:space="preserve">The </w:t>
            </w:r>
            <w:r w:rsidR="00083784">
              <w:t>Mat</w:t>
            </w:r>
            <w:r w:rsidR="00A60E25">
              <w:t xml:space="preserve">ters Arising </w:t>
            </w:r>
            <w:r w:rsidR="00221729">
              <w:t xml:space="preserve">were </w:t>
            </w:r>
            <w:r w:rsidR="00C33A33">
              <w:t>noted</w:t>
            </w:r>
            <w:r w:rsidR="00732AF8">
              <w:t xml:space="preserve"> as updated</w:t>
            </w:r>
            <w:r w:rsidR="000B0CCD">
              <w:t>.</w:t>
            </w:r>
          </w:p>
          <w:p w:rsidR="002F045C" w:rsidRPr="00562575" w:rsidRDefault="002F045C" w:rsidP="00EF7EEF">
            <w:pPr>
              <w:ind w:left="313"/>
            </w:pPr>
          </w:p>
        </w:tc>
      </w:tr>
      <w:tr w:rsidR="009C26C9" w:rsidTr="0027669F">
        <w:tc>
          <w:tcPr>
            <w:tcW w:w="9016" w:type="dxa"/>
          </w:tcPr>
          <w:p w:rsidR="009C26C9" w:rsidRDefault="007E694B" w:rsidP="00EF7EEF">
            <w:pPr>
              <w:pStyle w:val="ListParagraph"/>
              <w:numPr>
                <w:ilvl w:val="0"/>
                <w:numId w:val="11"/>
              </w:numPr>
              <w:ind w:left="313"/>
              <w:rPr>
                <w:b/>
              </w:rPr>
            </w:pPr>
            <w:r>
              <w:rPr>
                <w:b/>
              </w:rPr>
              <w:t xml:space="preserve">Risk Management </w:t>
            </w:r>
          </w:p>
          <w:p w:rsidR="0020643A" w:rsidRDefault="00D27D8D" w:rsidP="00EF7EEF">
            <w:pPr>
              <w:ind w:left="313"/>
            </w:pPr>
            <w:r>
              <w:t>The operation of NIAO</w:t>
            </w:r>
            <w:r w:rsidR="00DD7A86">
              <w:t xml:space="preserve"> has</w:t>
            </w:r>
            <w:r>
              <w:t xml:space="preserve"> changed </w:t>
            </w:r>
            <w:r w:rsidR="004B661A">
              <w:t>significantly</w:t>
            </w:r>
            <w:r>
              <w:t xml:space="preserve"> a</w:t>
            </w:r>
            <w:r w:rsidR="006B4E43">
              <w:t>s a consequence of COVID 19</w:t>
            </w:r>
            <w:r>
              <w:t xml:space="preserve">. </w:t>
            </w:r>
            <w:r w:rsidR="006B4E43">
              <w:t xml:space="preserve"> </w:t>
            </w:r>
            <w:r w:rsidR="004F783C">
              <w:t>Colette Kane briefed members on the current risk management position in response to the pandemic and advised a</w:t>
            </w:r>
            <w:r w:rsidR="00F27BA2">
              <w:t xml:space="preserve"> </w:t>
            </w:r>
            <w:r w:rsidR="00652C06">
              <w:t>COVID 19 Risk R</w:t>
            </w:r>
            <w:r w:rsidR="004F783C">
              <w:t>egister had been prepared to address the unique and unprecedented risks</w:t>
            </w:r>
            <w:r w:rsidR="006B4E43">
              <w:t xml:space="preserve"> </w:t>
            </w:r>
            <w:r w:rsidR="00652C06">
              <w:t>facing the Office.</w:t>
            </w:r>
            <w:r w:rsidR="006B4E43">
              <w:t xml:space="preserve">  </w:t>
            </w:r>
          </w:p>
          <w:p w:rsidR="00EF7EEF" w:rsidRDefault="00EF7EEF" w:rsidP="0020643A"/>
          <w:p w:rsidR="00EF7EEF" w:rsidRPr="00304C52" w:rsidRDefault="00EF7EEF" w:rsidP="00304C52">
            <w:pPr>
              <w:ind w:left="313"/>
              <w:rPr>
                <w:b/>
              </w:rPr>
            </w:pPr>
            <w:r w:rsidRPr="00EF7EEF">
              <w:rPr>
                <w:b/>
              </w:rPr>
              <w:t>COVID 19 Risk Register</w:t>
            </w:r>
          </w:p>
          <w:p w:rsidR="00EF7EEF" w:rsidRPr="00EF7EEF" w:rsidRDefault="00304C52" w:rsidP="00304C52">
            <w:pPr>
              <w:ind w:left="313"/>
              <w:rPr>
                <w:color w:val="000000"/>
              </w:rPr>
            </w:pPr>
            <w:r>
              <w:rPr>
                <w:color w:val="000000" w:themeColor="text1"/>
              </w:rPr>
              <w:t>The COVID 19 Risk R</w:t>
            </w:r>
            <w:r w:rsidR="00EF7EEF">
              <w:rPr>
                <w:color w:val="000000" w:themeColor="text1"/>
              </w:rPr>
              <w:t>egister</w:t>
            </w:r>
            <w:r>
              <w:rPr>
                <w:color w:val="000000" w:themeColor="text1"/>
              </w:rPr>
              <w:t xml:space="preserve"> was presented</w:t>
            </w:r>
            <w:r w:rsidR="00EF7EEF">
              <w:rPr>
                <w:color w:val="000000" w:themeColor="text1"/>
              </w:rPr>
              <w:t xml:space="preserve"> to ARAC and</w:t>
            </w:r>
            <w:r>
              <w:rPr>
                <w:color w:val="000000" w:themeColor="text1"/>
              </w:rPr>
              <w:t xml:space="preserve"> members were</w:t>
            </w:r>
            <w:r w:rsidR="00EF7EEF">
              <w:rPr>
                <w:color w:val="000000" w:themeColor="text1"/>
              </w:rPr>
              <w:t xml:space="preserve"> advised</w:t>
            </w:r>
            <w:r>
              <w:rPr>
                <w:color w:val="000000" w:themeColor="text1"/>
              </w:rPr>
              <w:t xml:space="preserve"> that</w:t>
            </w:r>
            <w:r w:rsidR="00EF7EEF">
              <w:rPr>
                <w:color w:val="000000" w:themeColor="text1"/>
              </w:rPr>
              <w:t xml:space="preserve"> it had previously been considered by the Senior Management Team (SMT) at meetings held on 6 and 24 April 2020</w:t>
            </w:r>
            <w:r>
              <w:rPr>
                <w:color w:val="000000"/>
              </w:rPr>
              <w:t>.  Members welcomed the Register</w:t>
            </w:r>
            <w:r w:rsidR="00EF7EEF">
              <w:rPr>
                <w:color w:val="000000"/>
              </w:rPr>
              <w:t xml:space="preserve"> and agreed it provided a</w:t>
            </w:r>
            <w:r w:rsidR="004B661A">
              <w:rPr>
                <w:color w:val="000000"/>
              </w:rPr>
              <w:t xml:space="preserve"> good</w:t>
            </w:r>
            <w:r w:rsidR="00EF7EEF">
              <w:rPr>
                <w:color w:val="000000"/>
              </w:rPr>
              <w:t xml:space="preserve"> focus on the current highest risk areas affecting the Office.  </w:t>
            </w:r>
          </w:p>
          <w:p w:rsidR="00EF7EEF" w:rsidRPr="001E70D3" w:rsidRDefault="00EF7EEF" w:rsidP="00EF7EEF">
            <w:pPr>
              <w:rPr>
                <w:color w:val="000000" w:themeColor="text1"/>
              </w:rPr>
            </w:pPr>
          </w:p>
          <w:p w:rsidR="00EF7EEF" w:rsidRDefault="00EF7EEF" w:rsidP="006B4E43">
            <w:pPr>
              <w:ind w:left="313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Corporate Risk Register (CRR)</w:t>
            </w:r>
          </w:p>
          <w:p w:rsidR="006B4E43" w:rsidRDefault="00652C06" w:rsidP="006B4E43">
            <w:pPr>
              <w:ind w:left="313"/>
            </w:pPr>
            <w:r>
              <w:t>Members were advised the CRR had been</w:t>
            </w:r>
            <w:r w:rsidR="006B4E43">
              <w:t xml:space="preserve"> considered by SMT at their meeting on 6</w:t>
            </w:r>
            <w:r w:rsidR="006B4E43">
              <w:rPr>
                <w:vertAlign w:val="superscript"/>
              </w:rPr>
              <w:t xml:space="preserve"> </w:t>
            </w:r>
            <w:r w:rsidR="006B4E43">
              <w:t>April 2020 and it was</w:t>
            </w:r>
            <w:r w:rsidR="00F27BA2">
              <w:t xml:space="preserve"> agreed</w:t>
            </w:r>
            <w:r w:rsidR="006B4E43">
              <w:t xml:space="preserve"> </w:t>
            </w:r>
            <w:r w:rsidR="004B661A">
              <w:t>the main focus should be the COVID 19 register</w:t>
            </w:r>
            <w:r w:rsidR="006B4E43">
              <w:t xml:space="preserve"> until further notice.  The CRR will be revised when the COVID 19</w:t>
            </w:r>
            <w:r>
              <w:t xml:space="preserve"> R</w:t>
            </w:r>
            <w:r w:rsidR="00F27BA2">
              <w:t>isk</w:t>
            </w:r>
            <w:r>
              <w:t xml:space="preserve"> R</w:t>
            </w:r>
            <w:r w:rsidR="006B4E43">
              <w:t xml:space="preserve">egister </w:t>
            </w:r>
            <w:r w:rsidR="004B661A">
              <w:t>requires less emphasis</w:t>
            </w:r>
            <w:r w:rsidR="00F27BA2">
              <w:t xml:space="preserve"> and there is a return to ‘normal’ working conditions</w:t>
            </w:r>
            <w:r w:rsidR="001B51F0">
              <w:t xml:space="preserve">. </w:t>
            </w:r>
            <w:r w:rsidR="00F27BA2">
              <w:t>Members recognise</w:t>
            </w:r>
            <w:r w:rsidR="004B661A">
              <w:t>d</w:t>
            </w:r>
            <w:r w:rsidR="001B51F0">
              <w:t xml:space="preserve"> the </w:t>
            </w:r>
            <w:r w:rsidR="00105DE8">
              <w:t>CRR will</w:t>
            </w:r>
            <w:r w:rsidR="001B51F0">
              <w:t xml:space="preserve"> require significant change as</w:t>
            </w:r>
            <w:r w:rsidR="006B4E43">
              <w:t xml:space="preserve"> ways</w:t>
            </w:r>
            <w:r w:rsidR="001B51F0">
              <w:t xml:space="preserve"> of working and priorities</w:t>
            </w:r>
            <w:r w:rsidR="006B4E43">
              <w:t xml:space="preserve"> change post pandemic. </w:t>
            </w:r>
          </w:p>
          <w:p w:rsidR="0020643A" w:rsidRDefault="0020643A" w:rsidP="001B51F0">
            <w:pPr>
              <w:jc w:val="both"/>
            </w:pPr>
          </w:p>
          <w:p w:rsidR="00105DE8" w:rsidRDefault="00105DE8" w:rsidP="00105DE8">
            <w:pPr>
              <w:ind w:left="313"/>
            </w:pPr>
            <w:r>
              <w:lastRenderedPageBreak/>
              <w:t xml:space="preserve">Members </w:t>
            </w:r>
            <w:r w:rsidR="002E6DF5">
              <w:t xml:space="preserve">highlighted possible additional concerns/risks as a consequence of the pandemic: the </w:t>
            </w:r>
            <w:r>
              <w:t xml:space="preserve">increased risk of fraud, </w:t>
            </w:r>
            <w:r w:rsidR="002E6DF5">
              <w:t xml:space="preserve">the effect of </w:t>
            </w:r>
            <w:r>
              <w:t xml:space="preserve">budget constraints, </w:t>
            </w:r>
            <w:r w:rsidR="0001111E">
              <w:t xml:space="preserve">the </w:t>
            </w:r>
            <w:r>
              <w:t>availability of key goods and services</w:t>
            </w:r>
            <w:r w:rsidR="002E6DF5">
              <w:t xml:space="preserve"> </w:t>
            </w:r>
            <w:r>
              <w:t xml:space="preserve">and </w:t>
            </w:r>
            <w:r w:rsidR="002E6DF5">
              <w:t xml:space="preserve">the build-up of </w:t>
            </w:r>
            <w:r w:rsidR="004B661A">
              <w:t>leave</w:t>
            </w:r>
            <w:r>
              <w:t xml:space="preserve"> accrual</w:t>
            </w:r>
            <w:r w:rsidR="004B661A">
              <w:t>s</w:t>
            </w:r>
            <w:r>
              <w:t xml:space="preserve"> by staff.  Assurance was given that these areas would be considered by the Corporate Risk Register Working </w:t>
            </w:r>
            <w:r w:rsidR="002E6DF5">
              <w:t>Group at</w:t>
            </w:r>
            <w:r w:rsidR="00DD7A86">
              <w:t xml:space="preserve"> their meeting scheduled for 7</w:t>
            </w:r>
            <w:r>
              <w:t xml:space="preserve"> May 2020.   </w:t>
            </w:r>
          </w:p>
          <w:p w:rsidR="00105DE8" w:rsidRDefault="00105DE8" w:rsidP="00105DE8">
            <w:pPr>
              <w:ind w:left="313"/>
            </w:pPr>
          </w:p>
          <w:p w:rsidR="0020643A" w:rsidRDefault="001B51F0" w:rsidP="00105DE8">
            <w:pPr>
              <w:ind w:left="313"/>
            </w:pPr>
            <w:r>
              <w:t>NIAO</w:t>
            </w:r>
            <w:r w:rsidR="0098653C">
              <w:t xml:space="preserve"> were commended for</w:t>
            </w:r>
            <w:r>
              <w:t xml:space="preserve"> prioritising the </w:t>
            </w:r>
            <w:r w:rsidR="00105DE8">
              <w:t xml:space="preserve">welfare and health and well-being </w:t>
            </w:r>
            <w:r>
              <w:t xml:space="preserve">of staff </w:t>
            </w:r>
            <w:r w:rsidR="00105DE8">
              <w:t xml:space="preserve">in </w:t>
            </w:r>
            <w:r w:rsidR="00735D71">
              <w:t xml:space="preserve">the current challenging climate and for their </w:t>
            </w:r>
            <w:r w:rsidR="006B13B5">
              <w:t xml:space="preserve">methods and frequency of </w:t>
            </w:r>
            <w:r w:rsidR="00735D71">
              <w:t>communication with staff during the ongoing crisis.</w:t>
            </w:r>
          </w:p>
          <w:p w:rsidR="00AF5E17" w:rsidRPr="008E5C0D" w:rsidRDefault="00AF5E17" w:rsidP="001B51F0">
            <w:pPr>
              <w:jc w:val="both"/>
            </w:pPr>
          </w:p>
        </w:tc>
      </w:tr>
      <w:tr w:rsidR="007A1C30" w:rsidTr="0027669F">
        <w:tc>
          <w:tcPr>
            <w:tcW w:w="9016" w:type="dxa"/>
          </w:tcPr>
          <w:p w:rsidR="007A1C30" w:rsidRDefault="007A1C30" w:rsidP="00D27D8D">
            <w:pPr>
              <w:pStyle w:val="ListParagraph"/>
              <w:numPr>
                <w:ilvl w:val="0"/>
                <w:numId w:val="11"/>
              </w:numPr>
              <w:ind w:left="313" w:hanging="313"/>
              <w:rPr>
                <w:b/>
              </w:rPr>
            </w:pPr>
            <w:r>
              <w:rPr>
                <w:b/>
              </w:rPr>
              <w:lastRenderedPageBreak/>
              <w:t>External Audit</w:t>
            </w:r>
            <w:r w:rsidR="00105DE8">
              <w:rPr>
                <w:b/>
              </w:rPr>
              <w:t xml:space="preserve"> - Update</w:t>
            </w:r>
          </w:p>
          <w:p w:rsidR="00D771BE" w:rsidRPr="009A06B0" w:rsidRDefault="00D5215A" w:rsidP="00D27D8D">
            <w:pPr>
              <w:ind w:left="313"/>
              <w:rPr>
                <w:b/>
              </w:rPr>
            </w:pPr>
            <w:r>
              <w:t>Brian McFetridge</w:t>
            </w:r>
            <w:r w:rsidR="00DD7A86">
              <w:t xml:space="preserve"> advised </w:t>
            </w:r>
            <w:r w:rsidR="002E6DF5">
              <w:t xml:space="preserve">that </w:t>
            </w:r>
            <w:r w:rsidR="004B661A">
              <w:t xml:space="preserve">it was </w:t>
            </w:r>
            <w:r w:rsidR="002E6DF5">
              <w:t xml:space="preserve">still </w:t>
            </w:r>
            <w:r w:rsidR="004B661A">
              <w:t xml:space="preserve">early in the audit timetable so </w:t>
            </w:r>
            <w:r w:rsidR="00DD7A86">
              <w:t xml:space="preserve">there were no key issues to report </w:t>
            </w:r>
            <w:r w:rsidR="004B661A">
              <w:t>except that in the current circumstances</w:t>
            </w:r>
            <w:r w:rsidR="00DD7A86">
              <w:t xml:space="preserve"> target dates were </w:t>
            </w:r>
            <w:r w:rsidR="004B661A">
              <w:t>unlikely to be</w:t>
            </w:r>
            <w:r w:rsidR="00DD7A86">
              <w:t xml:space="preserve"> achiev</w:t>
            </w:r>
            <w:r w:rsidR="004B661A">
              <w:t>ed</w:t>
            </w:r>
            <w:r w:rsidR="00DD7A86">
              <w:t>.</w:t>
            </w:r>
            <w:r w:rsidR="004B661A">
              <w:t xml:space="preserve">  Rodney Allen referred to discussions with external audit and explained NIAO was hopeful that delay</w:t>
            </w:r>
            <w:r w:rsidR="0070119F">
              <w:t>s</w:t>
            </w:r>
            <w:r w:rsidR="004B661A">
              <w:t xml:space="preserve"> would amount only to a number of weeks but</w:t>
            </w:r>
            <w:r w:rsidR="0070119F">
              <w:t xml:space="preserve">, given the current uncertainties, it was impossible to be </w:t>
            </w:r>
            <w:r w:rsidR="004B661A">
              <w:t>definitive</w:t>
            </w:r>
            <w:r w:rsidR="0070119F">
              <w:t xml:space="preserve"> at this stage</w:t>
            </w:r>
            <w:r w:rsidR="004B661A">
              <w:t xml:space="preserve">.  </w:t>
            </w:r>
          </w:p>
          <w:p w:rsidR="007A1C30" w:rsidRPr="00400958" w:rsidRDefault="007A1C30" w:rsidP="00400958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73344" w:rsidTr="0027669F">
        <w:tc>
          <w:tcPr>
            <w:tcW w:w="9016" w:type="dxa"/>
          </w:tcPr>
          <w:p w:rsidR="00773344" w:rsidRDefault="004F4F22" w:rsidP="00DD7A86">
            <w:pPr>
              <w:pStyle w:val="ListParagraph"/>
              <w:numPr>
                <w:ilvl w:val="0"/>
                <w:numId w:val="11"/>
              </w:numPr>
              <w:ind w:left="313"/>
              <w:rPr>
                <w:b/>
              </w:rPr>
            </w:pPr>
            <w:r>
              <w:rPr>
                <w:b/>
              </w:rPr>
              <w:t xml:space="preserve">Internal Audit </w:t>
            </w:r>
            <w:r w:rsidR="00E0741A">
              <w:rPr>
                <w:b/>
              </w:rPr>
              <w:t>(IA)</w:t>
            </w:r>
          </w:p>
          <w:p w:rsidR="00DD7A86" w:rsidRPr="00DD7A86" w:rsidRDefault="00DD7A86" w:rsidP="00DD7A86">
            <w:pPr>
              <w:ind w:left="360"/>
              <w:rPr>
                <w:rFonts w:cstheme="minorHAnsi"/>
              </w:rPr>
            </w:pPr>
            <w:r w:rsidRPr="00DD7A86">
              <w:t xml:space="preserve">Lee Glover presented the </w:t>
            </w:r>
            <w:r w:rsidR="00D32A95">
              <w:t xml:space="preserve">Final Visit 2 </w:t>
            </w:r>
            <w:r w:rsidRPr="00DD7A86">
              <w:t>Audit Progress Report</w:t>
            </w:r>
            <w:r w:rsidRPr="00DD7A86">
              <w:rPr>
                <w:rFonts w:cstheme="minorHAnsi"/>
              </w:rPr>
              <w:t>, the draft IA Strategy</w:t>
            </w:r>
            <w:r w:rsidR="0070119F">
              <w:rPr>
                <w:rFonts w:cstheme="minorHAnsi"/>
              </w:rPr>
              <w:t xml:space="preserve"> </w:t>
            </w:r>
            <w:r w:rsidR="004B661A">
              <w:rPr>
                <w:rFonts w:cstheme="minorHAnsi"/>
              </w:rPr>
              <w:t>a</w:t>
            </w:r>
            <w:r w:rsidRPr="00DD7A86">
              <w:rPr>
                <w:rFonts w:cstheme="minorHAnsi"/>
              </w:rPr>
              <w:t xml:space="preserve">nd the </w:t>
            </w:r>
            <w:r w:rsidR="00E0741A">
              <w:rPr>
                <w:rFonts w:cstheme="minorHAnsi"/>
              </w:rPr>
              <w:t>IA</w:t>
            </w:r>
            <w:r w:rsidRPr="00DD7A86">
              <w:rPr>
                <w:rFonts w:cstheme="minorHAnsi"/>
              </w:rPr>
              <w:t xml:space="preserve"> Annual </w:t>
            </w:r>
            <w:r w:rsidR="00D32A95" w:rsidRPr="00DD7A86">
              <w:rPr>
                <w:rFonts w:cstheme="minorHAnsi"/>
              </w:rPr>
              <w:t>Report</w:t>
            </w:r>
            <w:r w:rsidR="00E0741A">
              <w:rPr>
                <w:rFonts w:cstheme="minorHAnsi"/>
              </w:rPr>
              <w:t>, he summarised</w:t>
            </w:r>
            <w:r w:rsidR="00D32A95">
              <w:rPr>
                <w:rFonts w:cstheme="minorHAnsi"/>
              </w:rPr>
              <w:t xml:space="preserve"> the content for members.</w:t>
            </w:r>
          </w:p>
          <w:p w:rsidR="00DD7A86" w:rsidRDefault="00DD7A86" w:rsidP="00410092">
            <w:pPr>
              <w:pStyle w:val="ListParagraph"/>
              <w:rPr>
                <w:b/>
              </w:rPr>
            </w:pPr>
          </w:p>
          <w:p w:rsidR="00872487" w:rsidRPr="00872487" w:rsidRDefault="00D32A95" w:rsidP="00872487">
            <w:pPr>
              <w:pStyle w:val="ListParagraph"/>
              <w:numPr>
                <w:ilvl w:val="0"/>
                <w:numId w:val="30"/>
              </w:numPr>
              <w:ind w:left="738"/>
              <w:rPr>
                <w:b/>
              </w:rPr>
            </w:pPr>
            <w:r w:rsidRPr="00D32A95">
              <w:rPr>
                <w:b/>
              </w:rPr>
              <w:t>Final Visit 2 Audit Progress Report</w:t>
            </w:r>
          </w:p>
          <w:p w:rsidR="0061236A" w:rsidRPr="00872487" w:rsidRDefault="00872487" w:rsidP="00872487">
            <w:pPr>
              <w:autoSpaceDE w:val="0"/>
              <w:autoSpaceDN w:val="0"/>
              <w:adjustRightInd w:val="0"/>
              <w:ind w:left="738"/>
              <w:rPr>
                <w:rFonts w:eastAsia="SymbolMT" w:cstheme="minorHAnsi"/>
              </w:rPr>
            </w:pPr>
            <w:r w:rsidRPr="00872487">
              <w:rPr>
                <w:rFonts w:eastAsia="SymbolMT" w:cstheme="minorHAnsi"/>
              </w:rPr>
              <w:t>Each of the areas under review received an overall</w:t>
            </w:r>
            <w:r>
              <w:rPr>
                <w:rFonts w:eastAsia="SymbolMT" w:cstheme="minorHAnsi"/>
              </w:rPr>
              <w:t xml:space="preserve"> assessment of “Satisfactory” with some minor recommendations made.</w:t>
            </w:r>
            <w:r w:rsidRPr="00872487">
              <w:rPr>
                <w:rFonts w:eastAsia="SymbolMT" w:cstheme="minorHAnsi"/>
              </w:rPr>
              <w:t xml:space="preserve"> </w:t>
            </w:r>
            <w:r>
              <w:rPr>
                <w:rFonts w:eastAsia="SymbolMT" w:cstheme="minorHAnsi"/>
              </w:rPr>
              <w:t>T</w:t>
            </w:r>
            <w:r w:rsidR="0061236A" w:rsidRPr="00872487">
              <w:t xml:space="preserve">his </w:t>
            </w:r>
            <w:r w:rsidR="00E0741A" w:rsidRPr="00872487">
              <w:t xml:space="preserve">report </w:t>
            </w:r>
            <w:r w:rsidR="00652C06">
              <w:t>concluded</w:t>
            </w:r>
            <w:r w:rsidR="0061236A" w:rsidRPr="00872487">
              <w:t xml:space="preserve"> the review for </w:t>
            </w:r>
            <w:r w:rsidR="004B661A">
              <w:t>20</w:t>
            </w:r>
            <w:r w:rsidR="0061236A" w:rsidRPr="00872487">
              <w:t>19</w:t>
            </w:r>
            <w:r w:rsidR="004B661A">
              <w:t>-</w:t>
            </w:r>
            <w:r w:rsidR="0061236A" w:rsidRPr="00872487">
              <w:t>20</w:t>
            </w:r>
            <w:r w:rsidR="00D32A95" w:rsidRPr="00872487">
              <w:t xml:space="preserve">.  </w:t>
            </w:r>
          </w:p>
          <w:p w:rsidR="00DD7A86" w:rsidRDefault="00DD7A86" w:rsidP="0061236A"/>
          <w:p w:rsidR="00D32A95" w:rsidRPr="0061236A" w:rsidRDefault="0061236A" w:rsidP="0061236A">
            <w:pPr>
              <w:pStyle w:val="ListParagraph"/>
              <w:numPr>
                <w:ilvl w:val="0"/>
                <w:numId w:val="30"/>
              </w:numPr>
              <w:ind w:left="738"/>
              <w:rPr>
                <w:b/>
              </w:rPr>
            </w:pPr>
            <w:r w:rsidRPr="0061236A">
              <w:rPr>
                <w:b/>
              </w:rPr>
              <w:t>Draft IA Strategy</w:t>
            </w:r>
          </w:p>
          <w:p w:rsidR="0061236A" w:rsidRDefault="0061236A" w:rsidP="00410092">
            <w:pPr>
              <w:pStyle w:val="ListParagraph"/>
            </w:pPr>
            <w:r>
              <w:t>Lee Glover advised the</w:t>
            </w:r>
            <w:r w:rsidR="00E0741A">
              <w:t xml:space="preserve"> draft</w:t>
            </w:r>
            <w:r>
              <w:t xml:space="preserve"> strategy </w:t>
            </w:r>
            <w:r w:rsidR="00147E44">
              <w:t xml:space="preserve">had </w:t>
            </w:r>
            <w:r>
              <w:t>considered thre</w:t>
            </w:r>
            <w:r w:rsidR="00147E44">
              <w:t>e</w:t>
            </w:r>
            <w:r w:rsidR="00E0741A">
              <w:t xml:space="preserve"> additional</w:t>
            </w:r>
            <w:r>
              <w:t xml:space="preserve"> areas of BTP, accommodat</w:t>
            </w:r>
            <w:r w:rsidR="00E0741A">
              <w:t>ion and training and development</w:t>
            </w:r>
            <w:r>
              <w:t>.  Minor amendments</w:t>
            </w:r>
            <w:r w:rsidR="00E0741A">
              <w:t xml:space="preserve"> were discussed and agreed regarding</w:t>
            </w:r>
            <w:r w:rsidR="00872487">
              <w:t xml:space="preserve"> wording and</w:t>
            </w:r>
            <w:r w:rsidR="00E0741A">
              <w:t xml:space="preserve"> terminology used in the Strategy</w:t>
            </w:r>
            <w:r w:rsidR="00A44173">
              <w:t>.  Martin Pitt</w:t>
            </w:r>
            <w:r w:rsidR="00E0741A">
              <w:t xml:space="preserve"> queried</w:t>
            </w:r>
            <w:r w:rsidR="00F2344C">
              <w:t xml:space="preserve"> whether </w:t>
            </w:r>
            <w:r w:rsidR="00E0741A">
              <w:t>NIAO published the Internal Audit Charter on their website</w:t>
            </w:r>
            <w:r w:rsidR="004B661A">
              <w:t xml:space="preserve">. </w:t>
            </w:r>
            <w:r w:rsidR="00E0741A">
              <w:t xml:space="preserve"> </w:t>
            </w:r>
            <w:r w:rsidR="00F2344C">
              <w:t xml:space="preserve">This was discussed and it </w:t>
            </w:r>
            <w:r w:rsidR="00E0741A">
              <w:t xml:space="preserve">was agreed </w:t>
            </w:r>
            <w:r w:rsidR="00F2344C">
              <w:t xml:space="preserve">that </w:t>
            </w:r>
            <w:r w:rsidR="00E0741A">
              <w:t xml:space="preserve">this </w:t>
            </w:r>
            <w:r w:rsidR="00F2344C">
              <w:t xml:space="preserve">should be considered as an aspect of </w:t>
            </w:r>
            <w:r w:rsidR="009D529B">
              <w:t>transparent and</w:t>
            </w:r>
            <w:r w:rsidR="00F2344C">
              <w:t xml:space="preserve"> good practice. </w:t>
            </w:r>
            <w:r w:rsidR="00E8762E">
              <w:t xml:space="preserve"> </w:t>
            </w:r>
            <w:r w:rsidR="00B27587">
              <w:t xml:space="preserve"> Lee Glover agreed to follow up on thi</w:t>
            </w:r>
            <w:r w:rsidR="00A44173">
              <w:t>s and report to the Committee</w:t>
            </w:r>
            <w:r w:rsidR="00B27587">
              <w:t>.</w:t>
            </w:r>
          </w:p>
          <w:p w:rsidR="00B27587" w:rsidRDefault="00B27587" w:rsidP="00410092">
            <w:pPr>
              <w:pStyle w:val="ListParagraph"/>
            </w:pPr>
          </w:p>
          <w:p w:rsidR="00B27587" w:rsidRPr="00B27587" w:rsidRDefault="00B27587" w:rsidP="00B27587">
            <w:pPr>
              <w:pStyle w:val="ListParagraph"/>
              <w:numPr>
                <w:ilvl w:val="0"/>
                <w:numId w:val="30"/>
              </w:numPr>
              <w:ind w:left="738"/>
              <w:rPr>
                <w:b/>
              </w:rPr>
            </w:pPr>
            <w:r w:rsidRPr="00B27587">
              <w:rPr>
                <w:b/>
              </w:rPr>
              <w:t>Internal Audit Annual Report</w:t>
            </w:r>
          </w:p>
          <w:p w:rsidR="00A04217" w:rsidRDefault="00DD7A86" w:rsidP="008121F2">
            <w:pPr>
              <w:ind w:left="738"/>
            </w:pPr>
            <w:r>
              <w:t xml:space="preserve">The report covered the areas of </w:t>
            </w:r>
            <w:r w:rsidR="00F2344C">
              <w:t xml:space="preserve">corporate governance, management of contracted-out audits, miscellaneous financial controls, stakeholder engagement and management of in-house audits.  </w:t>
            </w:r>
            <w:r>
              <w:t>Overall assurance levels were assessed as satisfactory with a number of minor recommendations made.</w:t>
            </w:r>
            <w:r w:rsidR="00A44173">
              <w:t xml:space="preserve">  Martin Pitt queried if there was a requirement in </w:t>
            </w:r>
            <w:r w:rsidR="00D41F6A">
              <w:t xml:space="preserve">current IA standards </w:t>
            </w:r>
            <w:r w:rsidR="00A44173">
              <w:t xml:space="preserve">to </w:t>
            </w:r>
            <w:r w:rsidR="00D41F6A">
              <w:t>make specific reference to “</w:t>
            </w:r>
            <w:r w:rsidR="00F2344C">
              <w:t>S</w:t>
            </w:r>
            <w:r w:rsidR="00D41F6A">
              <w:t>atisfactory” in the</w:t>
            </w:r>
            <w:r w:rsidR="00A44173">
              <w:t xml:space="preserve"> annual audit opinion.  Lee Glover agreed to follow up on this and report to the Committee.</w:t>
            </w:r>
          </w:p>
          <w:p w:rsidR="00F2344C" w:rsidRDefault="00F2344C" w:rsidP="008121F2">
            <w:pPr>
              <w:ind w:left="738"/>
            </w:pPr>
          </w:p>
          <w:p w:rsidR="009D529B" w:rsidRDefault="009D529B" w:rsidP="008121F2">
            <w:pPr>
              <w:ind w:left="738"/>
            </w:pPr>
            <w:r>
              <w:t xml:space="preserve">Lee Glover was asked about progress on the </w:t>
            </w:r>
            <w:r w:rsidRPr="009D529B">
              <w:t>ISQC1 Review</w:t>
            </w:r>
            <w:r>
              <w:t xml:space="preserve">. He agreed to provide an update at the next meeting. </w:t>
            </w:r>
            <w:r w:rsidRPr="009D529B">
              <w:t> </w:t>
            </w:r>
          </w:p>
          <w:p w:rsidR="00A45FC3" w:rsidRDefault="00A45FC3" w:rsidP="008121F2">
            <w:pPr>
              <w:ind w:left="738"/>
            </w:pPr>
          </w:p>
          <w:p w:rsidR="00A45FC3" w:rsidRDefault="00A45FC3" w:rsidP="008121F2">
            <w:pPr>
              <w:ind w:left="738"/>
            </w:pPr>
          </w:p>
          <w:p w:rsidR="00A45FC3" w:rsidRPr="008121F2" w:rsidRDefault="00A45FC3" w:rsidP="008121F2">
            <w:pPr>
              <w:ind w:left="738"/>
            </w:pPr>
          </w:p>
          <w:p w:rsidR="00E6331C" w:rsidRPr="00677EB7" w:rsidRDefault="00E6331C" w:rsidP="00A44173">
            <w:pPr>
              <w:ind w:left="720"/>
              <w:rPr>
                <w:color w:val="000000" w:themeColor="text1"/>
              </w:rPr>
            </w:pPr>
          </w:p>
        </w:tc>
      </w:tr>
      <w:tr w:rsidR="0036663C" w:rsidTr="0027669F">
        <w:tc>
          <w:tcPr>
            <w:tcW w:w="9016" w:type="dxa"/>
          </w:tcPr>
          <w:p w:rsidR="0036663C" w:rsidRPr="0036663C" w:rsidRDefault="0036663C" w:rsidP="00A06DFF">
            <w:pPr>
              <w:pStyle w:val="ListParagraph"/>
              <w:numPr>
                <w:ilvl w:val="0"/>
                <w:numId w:val="11"/>
              </w:numPr>
              <w:ind w:left="31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NIAO Report Tracking Implementation of Audit</w:t>
            </w:r>
            <w:r w:rsidRPr="0036663C">
              <w:rPr>
                <w:b/>
                <w:color w:val="000000" w:themeColor="text1"/>
              </w:rPr>
              <w:t xml:space="preserve"> Recommendations</w:t>
            </w:r>
          </w:p>
          <w:p w:rsidR="004649E5" w:rsidRPr="001E2EA3" w:rsidRDefault="0036663C" w:rsidP="00A06DFF">
            <w:pPr>
              <w:autoSpaceDE w:val="0"/>
              <w:autoSpaceDN w:val="0"/>
              <w:adjustRightInd w:val="0"/>
              <w:ind w:left="313"/>
              <w:rPr>
                <w:b/>
                <w:color w:val="44546A" w:themeColor="text2"/>
              </w:rPr>
            </w:pPr>
            <w:r>
              <w:rPr>
                <w:color w:val="000000" w:themeColor="text1"/>
              </w:rPr>
              <w:t xml:space="preserve">Members were updated on </w:t>
            </w:r>
            <w:r w:rsidRPr="00F02915">
              <w:rPr>
                <w:color w:val="000000" w:themeColor="text1"/>
              </w:rPr>
              <w:t xml:space="preserve">NIAO </w:t>
            </w:r>
            <w:r>
              <w:rPr>
                <w:color w:val="000000" w:themeColor="text1"/>
              </w:rPr>
              <w:t>progress</w:t>
            </w:r>
            <w:r w:rsidRPr="00F02915">
              <w:rPr>
                <w:color w:val="000000" w:themeColor="text1"/>
              </w:rPr>
              <w:t xml:space="preserve"> on</w:t>
            </w:r>
            <w:r>
              <w:rPr>
                <w:color w:val="000000" w:themeColor="text1"/>
              </w:rPr>
              <w:t xml:space="preserve"> the implementation of</w:t>
            </w:r>
            <w:r w:rsidRPr="00F0291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</w:t>
            </w:r>
            <w:r w:rsidRPr="00F02915">
              <w:rPr>
                <w:color w:val="000000" w:themeColor="text1"/>
              </w:rPr>
              <w:t>udit recommendations</w:t>
            </w:r>
            <w:r w:rsidR="004649E5">
              <w:rPr>
                <w:color w:val="000000" w:themeColor="text1"/>
              </w:rPr>
              <w:t>.</w:t>
            </w:r>
            <w:r w:rsidR="008121F2">
              <w:rPr>
                <w:color w:val="000000" w:themeColor="text1"/>
              </w:rPr>
              <w:t xml:space="preserve">  Currently four </w:t>
            </w:r>
            <w:r w:rsidR="008121F2">
              <w:t>recommendations remain outstanding with work in progress to address the recommendations.</w:t>
            </w:r>
          </w:p>
          <w:p w:rsidR="004649E5" w:rsidRPr="0036663C" w:rsidRDefault="004649E5" w:rsidP="00247325">
            <w:pPr>
              <w:ind w:left="738"/>
              <w:rPr>
                <w:color w:val="000000" w:themeColor="text1"/>
              </w:rPr>
            </w:pPr>
          </w:p>
        </w:tc>
      </w:tr>
      <w:tr w:rsidR="00AF5E17" w:rsidTr="0027669F">
        <w:tc>
          <w:tcPr>
            <w:tcW w:w="9016" w:type="dxa"/>
          </w:tcPr>
          <w:p w:rsidR="00AF5E17" w:rsidRDefault="00AF5E17" w:rsidP="00A06DFF">
            <w:pPr>
              <w:pStyle w:val="ListParagraph"/>
              <w:numPr>
                <w:ilvl w:val="0"/>
                <w:numId w:val="11"/>
              </w:numPr>
              <w:ind w:left="313" w:hanging="313"/>
              <w:rPr>
                <w:b/>
              </w:rPr>
            </w:pPr>
            <w:r w:rsidRPr="00773344">
              <w:rPr>
                <w:b/>
              </w:rPr>
              <w:t>Fraud Whistleblowing and Complaints Report</w:t>
            </w:r>
          </w:p>
          <w:p w:rsidR="00213229" w:rsidRDefault="004649E5" w:rsidP="00A06DFF">
            <w:pPr>
              <w:pStyle w:val="ListParagraph"/>
              <w:ind w:left="313"/>
            </w:pPr>
            <w:r>
              <w:t>R</w:t>
            </w:r>
            <w:r w:rsidR="0039695F">
              <w:t xml:space="preserve">odney </w:t>
            </w:r>
            <w:r w:rsidR="00275F91">
              <w:t>Allen briefed</w:t>
            </w:r>
            <w:r>
              <w:t xml:space="preserve"> members on the fraud, whistleblowing and complaints activity in</w:t>
            </w:r>
            <w:r w:rsidR="001E2EA3">
              <w:t xml:space="preserve"> the period since January 2020</w:t>
            </w:r>
            <w:r w:rsidR="00275F91">
              <w:t xml:space="preserve"> with no new fraud or whistleblowing cases arising in the period</w:t>
            </w:r>
            <w:r w:rsidR="0039695F">
              <w:t xml:space="preserve">. </w:t>
            </w:r>
            <w:r w:rsidR="00D41F6A">
              <w:t xml:space="preserve"> The one existing matter of complaint remains open.</w:t>
            </w:r>
          </w:p>
          <w:p w:rsidR="00483DD7" w:rsidRPr="00E93D8A" w:rsidRDefault="00483DD7" w:rsidP="001E2EA3"/>
        </w:tc>
      </w:tr>
      <w:tr w:rsidR="001E2EA3" w:rsidTr="0027669F">
        <w:tc>
          <w:tcPr>
            <w:tcW w:w="9016" w:type="dxa"/>
          </w:tcPr>
          <w:p w:rsidR="00A06DFF" w:rsidRPr="00A06DFF" w:rsidRDefault="00A06DFF" w:rsidP="00AD299B">
            <w:pPr>
              <w:pStyle w:val="ListParagraph"/>
              <w:numPr>
                <w:ilvl w:val="0"/>
                <w:numId w:val="11"/>
              </w:numPr>
              <w:ind w:left="454" w:hanging="501"/>
              <w:rPr>
                <w:b/>
              </w:rPr>
            </w:pPr>
            <w:r w:rsidRPr="00A06DFF">
              <w:rPr>
                <w:b/>
              </w:rPr>
              <w:t xml:space="preserve">ARAC Terms of Reference </w:t>
            </w:r>
            <w:r w:rsidR="00D41F6A">
              <w:rPr>
                <w:b/>
              </w:rPr>
              <w:t xml:space="preserve">(TOR) </w:t>
            </w:r>
            <w:r w:rsidRPr="00A06DFF">
              <w:rPr>
                <w:b/>
              </w:rPr>
              <w:t xml:space="preserve">Review </w:t>
            </w:r>
          </w:p>
          <w:p w:rsidR="001E2EA3" w:rsidRPr="00A06DFF" w:rsidRDefault="00A06DFF" w:rsidP="00AD299B">
            <w:pPr>
              <w:ind w:left="454"/>
              <w:rPr>
                <w:rFonts w:cstheme="minorHAnsi"/>
                <w:color w:val="000000" w:themeColor="text1"/>
              </w:rPr>
            </w:pPr>
            <w:r w:rsidRPr="00F8596D">
              <w:rPr>
                <w:rFonts w:cstheme="minorHAnsi"/>
                <w:color w:val="000000" w:themeColor="text1"/>
              </w:rPr>
              <w:t>Members reviewed the TOR</w:t>
            </w:r>
            <w:r w:rsidR="00D41F6A">
              <w:rPr>
                <w:rFonts w:cstheme="minorHAnsi"/>
                <w:color w:val="000000" w:themeColor="text1"/>
              </w:rPr>
              <w:t xml:space="preserve"> and were content that n</w:t>
            </w:r>
            <w:r w:rsidRPr="00F8596D">
              <w:rPr>
                <w:rFonts w:cstheme="minorHAnsi"/>
                <w:color w:val="000000" w:themeColor="text1"/>
              </w:rPr>
              <w:t>o changes were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D41F6A">
              <w:rPr>
                <w:rFonts w:cstheme="minorHAnsi"/>
                <w:color w:val="000000" w:themeColor="text1"/>
              </w:rPr>
              <w:t>required.</w:t>
            </w:r>
            <w:r w:rsidRPr="00F8596D">
              <w:rPr>
                <w:rFonts w:cstheme="minorHAnsi"/>
                <w:color w:val="000000" w:themeColor="text1"/>
              </w:rPr>
              <w:t xml:space="preserve"> </w:t>
            </w:r>
          </w:p>
          <w:p w:rsidR="00A06DFF" w:rsidRPr="00A06DFF" w:rsidRDefault="00A06DFF" w:rsidP="00A06DFF">
            <w:pPr>
              <w:pStyle w:val="ListParagraph"/>
              <w:rPr>
                <w:b/>
              </w:rPr>
            </w:pPr>
          </w:p>
        </w:tc>
      </w:tr>
      <w:tr w:rsidR="0036663C" w:rsidTr="0027669F">
        <w:tc>
          <w:tcPr>
            <w:tcW w:w="9016" w:type="dxa"/>
          </w:tcPr>
          <w:p w:rsidR="0036663C" w:rsidRDefault="00A06DFF" w:rsidP="00AD299B">
            <w:pPr>
              <w:pStyle w:val="ListParagraph"/>
              <w:numPr>
                <w:ilvl w:val="0"/>
                <w:numId w:val="11"/>
              </w:numPr>
              <w:ind w:left="454" w:hanging="501"/>
              <w:rPr>
                <w:b/>
              </w:rPr>
            </w:pPr>
            <w:r>
              <w:rPr>
                <w:b/>
              </w:rPr>
              <w:t>Draft Annual Report and Accounts and Governance Statement</w:t>
            </w:r>
          </w:p>
          <w:p w:rsidR="00A06DFF" w:rsidRPr="007B5BE7" w:rsidRDefault="00A06DFF" w:rsidP="00AD299B">
            <w:pPr>
              <w:ind w:left="454"/>
              <w:rPr>
                <w:rFonts w:cstheme="minorHAnsi"/>
              </w:rPr>
            </w:pPr>
            <w:r>
              <w:rPr>
                <w:rFonts w:cstheme="minorHAnsi"/>
              </w:rPr>
              <w:t>Rodney Allen</w:t>
            </w:r>
            <w:r w:rsidR="00AD299B">
              <w:rPr>
                <w:rFonts w:cstheme="minorHAnsi"/>
              </w:rPr>
              <w:t xml:space="preserve"> reported</w:t>
            </w:r>
            <w:r>
              <w:rPr>
                <w:rFonts w:cstheme="minorHAnsi"/>
              </w:rPr>
              <w:t xml:space="preserve"> that w</w:t>
            </w:r>
            <w:r w:rsidRPr="00775567">
              <w:rPr>
                <w:rFonts w:cstheme="minorHAnsi"/>
              </w:rPr>
              <w:t xml:space="preserve">ork </w:t>
            </w:r>
            <w:r w:rsidR="00806512">
              <w:rPr>
                <w:rFonts w:cstheme="minorHAnsi"/>
              </w:rPr>
              <w:t>was</w:t>
            </w:r>
            <w:r w:rsidRPr="00775567">
              <w:rPr>
                <w:rFonts w:cstheme="minorHAnsi"/>
              </w:rPr>
              <w:t xml:space="preserve"> progressing on the production of the Annual Report and Accounts</w:t>
            </w:r>
            <w:r>
              <w:rPr>
                <w:rFonts w:cstheme="minorHAnsi"/>
              </w:rPr>
              <w:t>, although</w:t>
            </w:r>
            <w:r w:rsidR="009D529B">
              <w:rPr>
                <w:rFonts w:cstheme="minorHAnsi"/>
              </w:rPr>
              <w:t xml:space="preserve">, </w:t>
            </w:r>
            <w:r w:rsidR="00D41F6A">
              <w:rPr>
                <w:rFonts w:cstheme="minorHAnsi"/>
              </w:rPr>
              <w:t>as discussed earlier</w:t>
            </w:r>
            <w:r w:rsidR="009D529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some slippage is anticipated in light of current circumstances</w:t>
            </w:r>
            <w:r w:rsidR="00AD299B">
              <w:rPr>
                <w:rFonts w:cstheme="minorHAnsi"/>
              </w:rPr>
              <w:t>.  If slippage does occur</w:t>
            </w:r>
            <w:r w:rsidR="009D529B">
              <w:rPr>
                <w:rFonts w:cstheme="minorHAnsi"/>
              </w:rPr>
              <w:t xml:space="preserve">, </w:t>
            </w:r>
            <w:r w:rsidR="00AD299B">
              <w:rPr>
                <w:rFonts w:cstheme="minorHAnsi"/>
              </w:rPr>
              <w:t xml:space="preserve">members were advised </w:t>
            </w:r>
            <w:r w:rsidR="009D529B">
              <w:rPr>
                <w:rFonts w:cstheme="minorHAnsi"/>
              </w:rPr>
              <w:t xml:space="preserve">that </w:t>
            </w:r>
            <w:r>
              <w:rPr>
                <w:rFonts w:cstheme="minorHAnsi"/>
              </w:rPr>
              <w:t xml:space="preserve">the June </w:t>
            </w:r>
            <w:r w:rsidR="00806512">
              <w:rPr>
                <w:rFonts w:cstheme="minorHAnsi"/>
              </w:rPr>
              <w:t>ARAC meeting</w:t>
            </w:r>
            <w:r>
              <w:rPr>
                <w:rFonts w:cstheme="minorHAnsi"/>
              </w:rPr>
              <w:t xml:space="preserve"> </w:t>
            </w:r>
            <w:r w:rsidR="009D529B">
              <w:rPr>
                <w:rFonts w:cstheme="minorHAnsi"/>
              </w:rPr>
              <w:t xml:space="preserve">may be </w:t>
            </w:r>
            <w:r w:rsidR="00AD299B">
              <w:rPr>
                <w:rFonts w:cstheme="minorHAnsi"/>
              </w:rPr>
              <w:t>rescheduled</w:t>
            </w:r>
            <w:r>
              <w:rPr>
                <w:rFonts w:cstheme="minorHAnsi"/>
              </w:rPr>
              <w:t xml:space="preserve"> to July</w:t>
            </w:r>
            <w:r w:rsidR="00AD299B">
              <w:rPr>
                <w:rFonts w:cstheme="minorHAnsi"/>
              </w:rPr>
              <w:t xml:space="preserve"> 2020</w:t>
            </w:r>
            <w:r w:rsidR="00D41F6A">
              <w:rPr>
                <w:rFonts w:cstheme="minorHAnsi"/>
              </w:rPr>
              <w:t xml:space="preserve">. </w:t>
            </w:r>
            <w:r w:rsidR="00806512">
              <w:rPr>
                <w:rFonts w:cstheme="minorHAnsi"/>
              </w:rPr>
              <w:t xml:space="preserve"> </w:t>
            </w:r>
            <w:r w:rsidR="00D41F6A">
              <w:rPr>
                <w:rFonts w:cstheme="minorHAnsi"/>
              </w:rPr>
              <w:t>T</w:t>
            </w:r>
            <w:r w:rsidR="00806512">
              <w:rPr>
                <w:rFonts w:cstheme="minorHAnsi"/>
              </w:rPr>
              <w:t>his will be monitored</w:t>
            </w:r>
            <w:r w:rsidR="00AD299B">
              <w:rPr>
                <w:rFonts w:cstheme="minorHAnsi"/>
              </w:rPr>
              <w:t xml:space="preserve"> and members advised as soon as possible</w:t>
            </w:r>
            <w:r w:rsidR="00D41F6A">
              <w:rPr>
                <w:rFonts w:cstheme="minorHAnsi"/>
              </w:rPr>
              <w:t>.</w:t>
            </w:r>
          </w:p>
          <w:p w:rsidR="00A04217" w:rsidRPr="00E50C71" w:rsidRDefault="00A04217" w:rsidP="00A06DFF">
            <w:pPr>
              <w:pStyle w:val="ListParagraph"/>
            </w:pPr>
          </w:p>
        </w:tc>
      </w:tr>
      <w:tr w:rsidR="0036663C" w:rsidTr="0027669F">
        <w:tc>
          <w:tcPr>
            <w:tcW w:w="9016" w:type="dxa"/>
          </w:tcPr>
          <w:p w:rsidR="00AD299B" w:rsidRPr="00D06728" w:rsidRDefault="00AD299B" w:rsidP="00AD299B">
            <w:pPr>
              <w:pStyle w:val="Default"/>
              <w:numPr>
                <w:ilvl w:val="0"/>
                <w:numId w:val="11"/>
              </w:numPr>
              <w:ind w:left="454" w:hanging="454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0672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Current policies to note</w:t>
            </w:r>
          </w:p>
          <w:p w:rsidR="00FC463A" w:rsidRDefault="00FC463A" w:rsidP="00F03EA2">
            <w:pPr>
              <w:pStyle w:val="Default"/>
              <w:rPr>
                <w:rStyle w:val="Hyperlink"/>
                <w:rFonts w:asciiTheme="minorHAnsi" w:hAnsiTheme="minorHAnsi" w:cstheme="minorHAnsi"/>
                <w:bCs/>
                <w:color w:val="auto"/>
                <w:sz w:val="22"/>
                <w:szCs w:val="22"/>
                <w:u w:val="none"/>
                <w:lang w:val="en-GB"/>
              </w:rPr>
            </w:pPr>
            <w:r>
              <w:rPr>
                <w:rStyle w:val="Hyperlink"/>
                <w:rFonts w:asciiTheme="minorHAnsi" w:hAnsiTheme="minorHAnsi" w:cstheme="minorHAnsi"/>
                <w:bCs/>
                <w:color w:val="auto"/>
                <w:sz w:val="22"/>
                <w:szCs w:val="22"/>
                <w:u w:val="none"/>
              </w:rPr>
              <w:t>Members were briefed on the following updated policies and plans:</w:t>
            </w:r>
          </w:p>
          <w:p w:rsidR="00AD299B" w:rsidRPr="00AD299B" w:rsidRDefault="008D4E3C" w:rsidP="00AD299B">
            <w:pPr>
              <w:pStyle w:val="Default"/>
              <w:numPr>
                <w:ilvl w:val="0"/>
                <w:numId w:val="30"/>
              </w:numPr>
              <w:ind w:left="88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D299B">
              <w:rPr>
                <w:rStyle w:val="Hyperlink"/>
                <w:rFonts w:asciiTheme="minorHAnsi" w:hAnsiTheme="minorHAnsi" w:cstheme="minorHAnsi"/>
                <w:bCs/>
                <w:color w:val="auto"/>
                <w:sz w:val="22"/>
                <w:szCs w:val="22"/>
                <w:u w:val="none"/>
              </w:rPr>
              <w:t>Anti-Fraud</w:t>
            </w:r>
            <w:r w:rsidR="00AD299B" w:rsidRPr="00AD299B">
              <w:rPr>
                <w:rStyle w:val="Hyperlink"/>
                <w:rFonts w:asciiTheme="minorHAnsi" w:hAnsiTheme="minorHAnsi" w:cstheme="minorHAnsi"/>
                <w:bCs/>
                <w:color w:val="auto"/>
                <w:sz w:val="22"/>
                <w:szCs w:val="22"/>
                <w:u w:val="none"/>
              </w:rPr>
              <w:t xml:space="preserve"> Policy</w:t>
            </w:r>
          </w:p>
          <w:p w:rsidR="00AD299B" w:rsidRPr="00AD299B" w:rsidRDefault="00AD299B" w:rsidP="00AD299B">
            <w:pPr>
              <w:pStyle w:val="Default"/>
              <w:numPr>
                <w:ilvl w:val="0"/>
                <w:numId w:val="30"/>
              </w:numPr>
              <w:ind w:left="88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D299B">
              <w:rPr>
                <w:rStyle w:val="Hyperlink"/>
                <w:rFonts w:asciiTheme="minorHAnsi" w:hAnsiTheme="minorHAnsi" w:cstheme="minorHAnsi"/>
                <w:bCs/>
                <w:color w:val="auto"/>
                <w:sz w:val="22"/>
                <w:szCs w:val="22"/>
                <w:u w:val="none"/>
              </w:rPr>
              <w:t>Fraud Response Plan</w:t>
            </w:r>
          </w:p>
          <w:p w:rsidR="00AD299B" w:rsidRPr="00AD299B" w:rsidRDefault="00AD299B" w:rsidP="00AD299B">
            <w:pPr>
              <w:pStyle w:val="Default"/>
              <w:numPr>
                <w:ilvl w:val="0"/>
                <w:numId w:val="30"/>
              </w:numPr>
              <w:ind w:left="88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D299B">
              <w:rPr>
                <w:rStyle w:val="Hyperlink"/>
                <w:rFonts w:asciiTheme="minorHAnsi" w:hAnsiTheme="minorHAnsi" w:cstheme="minorHAnsi"/>
                <w:bCs/>
                <w:color w:val="auto"/>
                <w:sz w:val="22"/>
                <w:szCs w:val="22"/>
                <w:u w:val="none"/>
              </w:rPr>
              <w:t>Raising Concerns Policy</w:t>
            </w:r>
          </w:p>
          <w:p w:rsidR="00AD299B" w:rsidRPr="00AD299B" w:rsidRDefault="00AD299B" w:rsidP="00AD299B">
            <w:pPr>
              <w:pStyle w:val="Default"/>
              <w:numPr>
                <w:ilvl w:val="0"/>
                <w:numId w:val="30"/>
              </w:numPr>
              <w:ind w:left="88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D299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Business Continuity Plan</w:t>
            </w:r>
          </w:p>
          <w:p w:rsidR="00982AA1" w:rsidRPr="00D06728" w:rsidRDefault="00AD299B" w:rsidP="00AD299B">
            <w:pPr>
              <w:pStyle w:val="ListParagraph"/>
              <w:numPr>
                <w:ilvl w:val="0"/>
                <w:numId w:val="30"/>
              </w:numPr>
              <w:ind w:left="880"/>
            </w:pPr>
            <w:r w:rsidRPr="00AD299B">
              <w:rPr>
                <w:rFonts w:cstheme="minorHAnsi"/>
                <w:bCs/>
              </w:rPr>
              <w:t>Crisis Management Plan</w:t>
            </w:r>
          </w:p>
          <w:p w:rsidR="00D06728" w:rsidRPr="00D06728" w:rsidRDefault="00D06728" w:rsidP="00D06728"/>
          <w:p w:rsidR="00D06728" w:rsidRDefault="008D4E3C" w:rsidP="00D06728">
            <w:pPr>
              <w:ind w:left="454"/>
            </w:pPr>
            <w:r>
              <w:t>Members noted the papers presented</w:t>
            </w:r>
            <w:r w:rsidR="00D41F6A">
              <w:t>.  The Chairman pointed out some inconsistencies in his contact details and asked for</w:t>
            </w:r>
            <w:r w:rsidR="009D529B">
              <w:t xml:space="preserve"> all contact details provided in each of the documents to be checked and </w:t>
            </w:r>
            <w:r>
              <w:t xml:space="preserve">amendments </w:t>
            </w:r>
            <w:r w:rsidR="009D529B">
              <w:t>made if necessary</w:t>
            </w:r>
            <w:r w:rsidR="00D06728">
              <w:t>.</w:t>
            </w:r>
          </w:p>
          <w:p w:rsidR="00D06728" w:rsidRPr="001A1B65" w:rsidRDefault="00D06728" w:rsidP="00D06728">
            <w:pPr>
              <w:ind w:left="454"/>
            </w:pPr>
          </w:p>
        </w:tc>
      </w:tr>
      <w:tr w:rsidR="00156A45" w:rsidTr="0027669F">
        <w:tc>
          <w:tcPr>
            <w:tcW w:w="9016" w:type="dxa"/>
          </w:tcPr>
          <w:p w:rsidR="00156A45" w:rsidRDefault="00156A45" w:rsidP="00D06728">
            <w:pPr>
              <w:pStyle w:val="ListParagraph"/>
              <w:numPr>
                <w:ilvl w:val="0"/>
                <w:numId w:val="11"/>
              </w:numPr>
              <w:ind w:left="596" w:hanging="596"/>
              <w:rPr>
                <w:b/>
              </w:rPr>
            </w:pPr>
            <w:r>
              <w:rPr>
                <w:b/>
              </w:rPr>
              <w:t>AOB</w:t>
            </w:r>
          </w:p>
          <w:p w:rsidR="00156A45" w:rsidRDefault="001A1B65" w:rsidP="00D06728">
            <w:pPr>
              <w:pStyle w:val="ListParagraph"/>
              <w:numPr>
                <w:ilvl w:val="0"/>
                <w:numId w:val="24"/>
              </w:numPr>
              <w:spacing w:line="256" w:lineRule="auto"/>
              <w:ind w:left="880" w:hanging="284"/>
            </w:pPr>
            <w:r w:rsidRPr="001A1B65">
              <w:t>No items listed</w:t>
            </w:r>
            <w:r w:rsidR="00D41F6A">
              <w:t xml:space="preserve"> or </w:t>
            </w:r>
            <w:r w:rsidRPr="001A1B65">
              <w:t>raised.</w:t>
            </w:r>
          </w:p>
          <w:p w:rsidR="00982AA1" w:rsidRPr="001A1B65" w:rsidRDefault="00982AA1" w:rsidP="00982AA1">
            <w:pPr>
              <w:pStyle w:val="ListParagraph"/>
              <w:spacing w:line="256" w:lineRule="auto"/>
              <w:ind w:left="1163"/>
            </w:pPr>
          </w:p>
        </w:tc>
      </w:tr>
      <w:tr w:rsidR="0036663C" w:rsidTr="0027669F">
        <w:tc>
          <w:tcPr>
            <w:tcW w:w="9016" w:type="dxa"/>
          </w:tcPr>
          <w:p w:rsidR="0036663C" w:rsidRPr="0036663C" w:rsidRDefault="0036663C" w:rsidP="00D06728">
            <w:pPr>
              <w:pStyle w:val="ListParagraph"/>
              <w:numPr>
                <w:ilvl w:val="0"/>
                <w:numId w:val="11"/>
              </w:numPr>
              <w:ind w:left="454" w:hanging="454"/>
              <w:rPr>
                <w:b/>
              </w:rPr>
            </w:pPr>
            <w:r w:rsidRPr="0036663C">
              <w:rPr>
                <w:b/>
              </w:rPr>
              <w:t>Dates of Next Meetings:</w:t>
            </w:r>
          </w:p>
          <w:p w:rsidR="0036663C" w:rsidRDefault="0036663C" w:rsidP="00D06728">
            <w:pPr>
              <w:pStyle w:val="ListParagraph"/>
              <w:numPr>
                <w:ilvl w:val="0"/>
                <w:numId w:val="24"/>
              </w:numPr>
              <w:ind w:left="880"/>
            </w:pPr>
            <w:r>
              <w:t>23 June 2020 @ 11.30</w:t>
            </w:r>
            <w:r w:rsidR="009D529B">
              <w:t xml:space="preserve"> </w:t>
            </w:r>
            <w:r>
              <w:t>a</w:t>
            </w:r>
            <w:r w:rsidR="009D529B">
              <w:t>.</w:t>
            </w:r>
            <w:r>
              <w:t>m</w:t>
            </w:r>
            <w:r w:rsidR="009D529B">
              <w:t xml:space="preserve">. </w:t>
            </w:r>
            <w:r w:rsidR="00C32AC3">
              <w:t>(</w:t>
            </w:r>
            <w:r w:rsidR="009D529B">
              <w:t>s</w:t>
            </w:r>
            <w:r w:rsidR="00C32AC3">
              <w:t xml:space="preserve">ubject to </w:t>
            </w:r>
            <w:r w:rsidR="009D529B">
              <w:t>confirmation</w:t>
            </w:r>
            <w:r w:rsidR="00C32AC3">
              <w:t>)</w:t>
            </w:r>
          </w:p>
          <w:p w:rsidR="0036663C" w:rsidRDefault="0036663C" w:rsidP="00D06728">
            <w:pPr>
              <w:pStyle w:val="ListParagraph"/>
              <w:numPr>
                <w:ilvl w:val="0"/>
                <w:numId w:val="24"/>
              </w:numPr>
              <w:ind w:left="880"/>
            </w:pPr>
            <w:r>
              <w:t>23 September 2020 @ 11.30</w:t>
            </w:r>
            <w:r w:rsidR="009D529B">
              <w:t xml:space="preserve"> </w:t>
            </w:r>
            <w:r>
              <w:t>a</w:t>
            </w:r>
            <w:r w:rsidR="009D529B">
              <w:t>.</w:t>
            </w:r>
            <w:r>
              <w:t>m</w:t>
            </w:r>
            <w:r w:rsidR="009D529B">
              <w:t xml:space="preserve">. </w:t>
            </w:r>
          </w:p>
          <w:p w:rsidR="00982AA1" w:rsidRDefault="00982AA1" w:rsidP="00436D43">
            <w:pPr>
              <w:pStyle w:val="ListParagraph"/>
              <w:ind w:left="1163"/>
            </w:pPr>
          </w:p>
        </w:tc>
      </w:tr>
      <w:tr w:rsidR="008E52A2" w:rsidTr="0027669F">
        <w:tc>
          <w:tcPr>
            <w:tcW w:w="9016" w:type="dxa"/>
          </w:tcPr>
          <w:p w:rsidR="008E52A2" w:rsidRPr="0097715B" w:rsidRDefault="00622852" w:rsidP="00D06728">
            <w:pPr>
              <w:pStyle w:val="ListParagraph"/>
              <w:numPr>
                <w:ilvl w:val="0"/>
                <w:numId w:val="11"/>
              </w:numPr>
              <w:ind w:left="454" w:hanging="454"/>
              <w:rPr>
                <w:b/>
              </w:rPr>
            </w:pPr>
            <w:r>
              <w:t>The Committee met with External</w:t>
            </w:r>
            <w:r w:rsidR="008E52A2">
              <w:t xml:space="preserve"> </w:t>
            </w:r>
            <w:r w:rsidR="00D41F6A">
              <w:t xml:space="preserve">and Internal </w:t>
            </w:r>
            <w:r w:rsidR="008E52A2">
              <w:t>Audit</w:t>
            </w:r>
            <w:r w:rsidR="00792680">
              <w:t xml:space="preserve"> </w:t>
            </w:r>
            <w:r w:rsidR="008E52A2">
              <w:t xml:space="preserve">for private discussions. </w:t>
            </w:r>
          </w:p>
          <w:p w:rsidR="0097715B" w:rsidRDefault="0097715B" w:rsidP="0097715B">
            <w:pPr>
              <w:pStyle w:val="ListParagraph"/>
              <w:rPr>
                <w:b/>
              </w:rPr>
            </w:pPr>
          </w:p>
        </w:tc>
      </w:tr>
    </w:tbl>
    <w:p w:rsidR="00C514B8" w:rsidRDefault="00C514B8"/>
    <w:p w:rsidR="00705A0B" w:rsidRDefault="00705A0B">
      <w:r>
        <w:br w:type="page"/>
      </w:r>
    </w:p>
    <w:p w:rsidR="00705A0B" w:rsidRPr="00D27A02" w:rsidRDefault="00705A0B" w:rsidP="00705A0B">
      <w:pPr>
        <w:spacing w:after="200" w:line="276" w:lineRule="auto"/>
        <w:jc w:val="center"/>
        <w:rPr>
          <w:b/>
          <w:sz w:val="26"/>
          <w:szCs w:val="26"/>
        </w:rPr>
      </w:pPr>
      <w:r w:rsidRPr="00D27A02">
        <w:rPr>
          <w:b/>
          <w:sz w:val="26"/>
          <w:szCs w:val="26"/>
        </w:rPr>
        <w:t>Audit and Risk Assurance Committee</w:t>
      </w:r>
    </w:p>
    <w:p w:rsidR="00705A0B" w:rsidRPr="00D27A02" w:rsidRDefault="00705A0B" w:rsidP="00705A0B">
      <w:pPr>
        <w:spacing w:after="200" w:line="276" w:lineRule="auto"/>
        <w:jc w:val="center"/>
        <w:rPr>
          <w:b/>
          <w:color w:val="44546A" w:themeColor="text2"/>
          <w:sz w:val="26"/>
          <w:szCs w:val="26"/>
        </w:rPr>
      </w:pPr>
      <w:r w:rsidRPr="00D27A02">
        <w:rPr>
          <w:b/>
          <w:sz w:val="26"/>
          <w:szCs w:val="26"/>
        </w:rPr>
        <w:t>Matters arising from the meeting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843"/>
        <w:gridCol w:w="2381"/>
      </w:tblGrid>
      <w:tr w:rsidR="00705A0B" w:rsidTr="008B4C98">
        <w:tc>
          <w:tcPr>
            <w:tcW w:w="325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  <w:shd w:val="clear" w:color="auto" w:fill="ACB9CA" w:themeFill="text2" w:themeFillTint="66"/>
            <w:hideMark/>
          </w:tcPr>
          <w:p w:rsidR="00705A0B" w:rsidRPr="00746488" w:rsidRDefault="00705A0B" w:rsidP="00844746">
            <w:pPr>
              <w:rPr>
                <w:b/>
              </w:rPr>
            </w:pPr>
            <w:r w:rsidRPr="00746488">
              <w:rPr>
                <w:b/>
              </w:rPr>
              <w:t>ISSUE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  <w:shd w:val="clear" w:color="auto" w:fill="ACB9CA" w:themeFill="text2" w:themeFillTint="66"/>
            <w:hideMark/>
          </w:tcPr>
          <w:p w:rsidR="00705A0B" w:rsidRPr="00746488" w:rsidRDefault="00705A0B" w:rsidP="00844746">
            <w:pPr>
              <w:rPr>
                <w:b/>
              </w:rPr>
            </w:pPr>
            <w:r w:rsidRPr="00746488">
              <w:rPr>
                <w:b/>
              </w:rPr>
              <w:t>TARGET DATE</w:t>
            </w:r>
          </w:p>
        </w:tc>
        <w:tc>
          <w:tcPr>
            <w:tcW w:w="184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  <w:shd w:val="clear" w:color="auto" w:fill="ACB9CA" w:themeFill="text2" w:themeFillTint="66"/>
            <w:hideMark/>
          </w:tcPr>
          <w:p w:rsidR="00705A0B" w:rsidRPr="00746488" w:rsidRDefault="00705A0B" w:rsidP="00844746">
            <w:pPr>
              <w:rPr>
                <w:b/>
              </w:rPr>
            </w:pPr>
            <w:r w:rsidRPr="00746488">
              <w:rPr>
                <w:b/>
              </w:rPr>
              <w:t>RESPONSIBILITY</w:t>
            </w:r>
          </w:p>
        </w:tc>
        <w:tc>
          <w:tcPr>
            <w:tcW w:w="238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  <w:shd w:val="clear" w:color="auto" w:fill="ACB9CA" w:themeFill="text2" w:themeFillTint="66"/>
            <w:hideMark/>
          </w:tcPr>
          <w:p w:rsidR="00705A0B" w:rsidRPr="00746488" w:rsidRDefault="00705A0B" w:rsidP="00844746">
            <w:pPr>
              <w:rPr>
                <w:b/>
              </w:rPr>
            </w:pPr>
            <w:r w:rsidRPr="00746488">
              <w:rPr>
                <w:b/>
              </w:rPr>
              <w:t>PROGRESS/</w:t>
            </w:r>
          </w:p>
          <w:p w:rsidR="00705A0B" w:rsidRPr="00746488" w:rsidRDefault="00705A0B" w:rsidP="00844746">
            <w:pPr>
              <w:rPr>
                <w:b/>
              </w:rPr>
            </w:pPr>
            <w:r w:rsidRPr="00746488">
              <w:rPr>
                <w:b/>
              </w:rPr>
              <w:t>OUTCOME</w:t>
            </w:r>
          </w:p>
        </w:tc>
      </w:tr>
      <w:tr w:rsidR="00705A0B" w:rsidTr="008B4C98">
        <w:tc>
          <w:tcPr>
            <w:tcW w:w="9322" w:type="dxa"/>
            <w:gridSpan w:val="4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705A0B" w:rsidRPr="00746488" w:rsidRDefault="00705A0B" w:rsidP="0084474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705A0B" w:rsidTr="008B4C98">
        <w:tc>
          <w:tcPr>
            <w:tcW w:w="9322" w:type="dxa"/>
            <w:gridSpan w:val="4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auto"/>
            </w:tcBorders>
            <w:shd w:val="clear" w:color="auto" w:fill="ACB9CA" w:themeFill="text2" w:themeFillTint="66"/>
          </w:tcPr>
          <w:p w:rsidR="00705A0B" w:rsidRDefault="00705A0B" w:rsidP="00844746">
            <w:pPr>
              <w:ind w:left="29"/>
              <w:jc w:val="center"/>
            </w:pPr>
          </w:p>
        </w:tc>
      </w:tr>
      <w:tr w:rsidR="00B3677E" w:rsidTr="006B13B5">
        <w:tc>
          <w:tcPr>
            <w:tcW w:w="3256" w:type="dxa"/>
            <w:tcBorders>
              <w:top w:val="single" w:sz="4" w:space="0" w:color="5B9BD5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</w:tcPr>
          <w:p w:rsidR="00C3042D" w:rsidRDefault="00C3042D" w:rsidP="00B3677E"/>
        </w:tc>
        <w:tc>
          <w:tcPr>
            <w:tcW w:w="1842" w:type="dxa"/>
            <w:tcBorders>
              <w:top w:val="single" w:sz="4" w:space="0" w:color="5B9BD5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</w:tcPr>
          <w:p w:rsidR="00B3677E" w:rsidRDefault="00B3677E" w:rsidP="0056310B"/>
        </w:tc>
        <w:tc>
          <w:tcPr>
            <w:tcW w:w="1843" w:type="dxa"/>
            <w:tcBorders>
              <w:top w:val="single" w:sz="4" w:space="0" w:color="5B9BD5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</w:tcPr>
          <w:p w:rsidR="00B3677E" w:rsidRDefault="00B3677E" w:rsidP="00844746"/>
        </w:tc>
        <w:tc>
          <w:tcPr>
            <w:tcW w:w="2381" w:type="dxa"/>
            <w:tcBorders>
              <w:top w:val="single" w:sz="4" w:space="0" w:color="5B9BD5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</w:tcPr>
          <w:p w:rsidR="0056310B" w:rsidRDefault="0056310B" w:rsidP="00844746">
            <w:pPr>
              <w:ind w:left="29"/>
            </w:pPr>
          </w:p>
        </w:tc>
      </w:tr>
      <w:tr w:rsidR="00AE57FC" w:rsidTr="006B13B5">
        <w:tc>
          <w:tcPr>
            <w:tcW w:w="3256" w:type="dxa"/>
            <w:tcBorders>
              <w:top w:val="single" w:sz="4" w:space="0" w:color="5B9BD5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</w:tcPr>
          <w:p w:rsidR="00C3042D" w:rsidRDefault="00C3042D">
            <w:pPr>
              <w:spacing w:line="256" w:lineRule="auto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5B9BD5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</w:tcPr>
          <w:p w:rsidR="00AE57FC" w:rsidRDefault="00AE57FC" w:rsidP="00844746"/>
        </w:tc>
        <w:tc>
          <w:tcPr>
            <w:tcW w:w="1843" w:type="dxa"/>
            <w:tcBorders>
              <w:top w:val="single" w:sz="4" w:space="0" w:color="5B9BD5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</w:tcPr>
          <w:p w:rsidR="00AE57FC" w:rsidRDefault="00AE57FC" w:rsidP="00844746"/>
        </w:tc>
        <w:tc>
          <w:tcPr>
            <w:tcW w:w="2381" w:type="dxa"/>
            <w:tcBorders>
              <w:top w:val="single" w:sz="4" w:space="0" w:color="5B9BD5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</w:tcPr>
          <w:p w:rsidR="00AE57FC" w:rsidRDefault="00AE57FC" w:rsidP="00844746">
            <w:pPr>
              <w:ind w:left="29"/>
            </w:pPr>
          </w:p>
        </w:tc>
      </w:tr>
      <w:tr w:rsidR="006B13B5" w:rsidTr="008B4C98">
        <w:tc>
          <w:tcPr>
            <w:tcW w:w="9322" w:type="dxa"/>
            <w:gridSpan w:val="4"/>
            <w:tcBorders>
              <w:top w:val="single" w:sz="4" w:space="0" w:color="5B9BD5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  <w:shd w:val="clear" w:color="auto" w:fill="ACB9CA" w:themeFill="text2" w:themeFillTint="66"/>
          </w:tcPr>
          <w:p w:rsidR="006B13B5" w:rsidRDefault="006B13B5" w:rsidP="006B13B5">
            <w:pPr>
              <w:ind w:left="29"/>
              <w:jc w:val="center"/>
            </w:pPr>
            <w:r w:rsidRPr="00746488">
              <w:rPr>
                <w:b/>
              </w:rPr>
              <w:t>Issues arising</w:t>
            </w:r>
            <w:r>
              <w:rPr>
                <w:b/>
              </w:rPr>
              <w:t xml:space="preserve"> from meeting of 5 May 2020</w:t>
            </w:r>
          </w:p>
        </w:tc>
      </w:tr>
      <w:tr w:rsidR="006B13B5" w:rsidTr="006B13B5">
        <w:tc>
          <w:tcPr>
            <w:tcW w:w="3256" w:type="dxa"/>
            <w:tcBorders>
              <w:top w:val="single" w:sz="4" w:space="0" w:color="5B9BD5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</w:tcPr>
          <w:p w:rsidR="006B13B5" w:rsidRDefault="006B13B5" w:rsidP="006B13B5">
            <w:pPr>
              <w:spacing w:line="256" w:lineRule="auto"/>
              <w:rPr>
                <w:color w:val="000000" w:themeColor="text1"/>
              </w:rPr>
            </w:pPr>
            <w:r>
              <w:t>Option of the Internal Audit Charter being published on the NIAO website</w:t>
            </w:r>
            <w:r w:rsidR="00D41F6A">
              <w:t>.</w:t>
            </w:r>
          </w:p>
        </w:tc>
        <w:tc>
          <w:tcPr>
            <w:tcW w:w="1842" w:type="dxa"/>
            <w:tcBorders>
              <w:top w:val="single" w:sz="4" w:space="0" w:color="5B9BD5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</w:tcPr>
          <w:p w:rsidR="006B13B5" w:rsidRDefault="006B13B5" w:rsidP="00844746">
            <w:r>
              <w:t>23 June 2020</w:t>
            </w:r>
          </w:p>
        </w:tc>
        <w:tc>
          <w:tcPr>
            <w:tcW w:w="1843" w:type="dxa"/>
            <w:tcBorders>
              <w:top w:val="single" w:sz="4" w:space="0" w:color="5B9BD5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</w:tcPr>
          <w:p w:rsidR="006B13B5" w:rsidRDefault="006B13B5" w:rsidP="00844746">
            <w:r>
              <w:t>L Glover</w:t>
            </w:r>
          </w:p>
        </w:tc>
        <w:tc>
          <w:tcPr>
            <w:tcW w:w="2381" w:type="dxa"/>
            <w:tcBorders>
              <w:top w:val="single" w:sz="4" w:space="0" w:color="5B9BD5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</w:tcPr>
          <w:p w:rsidR="006B13B5" w:rsidRDefault="00D41F6A" w:rsidP="00D41F6A">
            <w:pPr>
              <w:ind w:left="29"/>
            </w:pPr>
            <w:r>
              <w:t xml:space="preserve">Complete.  There is no requirement to publish the Charter however a copy has now been placed on the NIAO website for transparency and compliance with good practice.  </w:t>
            </w:r>
          </w:p>
        </w:tc>
      </w:tr>
      <w:tr w:rsidR="006B13B5" w:rsidTr="006B13B5">
        <w:tc>
          <w:tcPr>
            <w:tcW w:w="3256" w:type="dxa"/>
            <w:tcBorders>
              <w:top w:val="single" w:sz="4" w:space="0" w:color="5B9BD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6B13B5" w:rsidRDefault="00D41F6A" w:rsidP="00D41F6A">
            <w:pPr>
              <w:spacing w:line="256" w:lineRule="auto"/>
            </w:pPr>
            <w:r>
              <w:t>Internal Audit to c</w:t>
            </w:r>
            <w:r w:rsidR="00FC463A">
              <w:t>heck</w:t>
            </w:r>
            <w:r>
              <w:t xml:space="preserve"> </w:t>
            </w:r>
            <w:r w:rsidR="009D529B">
              <w:t>wording required</w:t>
            </w:r>
            <w:r w:rsidR="006B13B5">
              <w:t xml:space="preserve"> in </w:t>
            </w:r>
            <w:r>
              <w:t>the</w:t>
            </w:r>
            <w:r w:rsidR="006B13B5">
              <w:t xml:space="preserve"> annual audit opinion.  </w:t>
            </w:r>
          </w:p>
        </w:tc>
        <w:tc>
          <w:tcPr>
            <w:tcW w:w="1842" w:type="dxa"/>
            <w:tcBorders>
              <w:top w:val="single" w:sz="4" w:space="0" w:color="5B9BD5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</w:tcPr>
          <w:p w:rsidR="006B13B5" w:rsidRDefault="006B13B5" w:rsidP="00844746">
            <w:r>
              <w:t>23 June 2020</w:t>
            </w:r>
          </w:p>
        </w:tc>
        <w:tc>
          <w:tcPr>
            <w:tcW w:w="1843" w:type="dxa"/>
            <w:tcBorders>
              <w:top w:val="single" w:sz="4" w:space="0" w:color="5B9BD5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</w:tcPr>
          <w:p w:rsidR="006B13B5" w:rsidRDefault="006B13B5" w:rsidP="00844746">
            <w:r>
              <w:t>L Glover</w:t>
            </w:r>
          </w:p>
        </w:tc>
        <w:tc>
          <w:tcPr>
            <w:tcW w:w="2381" w:type="dxa"/>
            <w:tcBorders>
              <w:top w:val="single" w:sz="4" w:space="0" w:color="5B9BD5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</w:tcPr>
          <w:p w:rsidR="006B13B5" w:rsidRDefault="00D41F6A" w:rsidP="00FC463A">
            <w:pPr>
              <w:ind w:left="29"/>
            </w:pPr>
            <w:r>
              <w:t xml:space="preserve">Complete.  There is no requirement in internal audit standards for </w:t>
            </w:r>
            <w:r w:rsidR="00FC463A">
              <w:t>the specific wording that was queried.</w:t>
            </w:r>
          </w:p>
        </w:tc>
      </w:tr>
    </w:tbl>
    <w:p w:rsidR="00984644" w:rsidRPr="005A48AB" w:rsidRDefault="00984644" w:rsidP="005A48AB"/>
    <w:sectPr w:rsidR="00984644" w:rsidRPr="005A48A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CA5" w:rsidRDefault="00AA4CA5" w:rsidP="004028BF">
      <w:pPr>
        <w:spacing w:after="0" w:line="240" w:lineRule="auto"/>
      </w:pPr>
      <w:r>
        <w:separator/>
      </w:r>
    </w:p>
  </w:endnote>
  <w:endnote w:type="continuationSeparator" w:id="0">
    <w:p w:rsidR="00AA4CA5" w:rsidRDefault="00AA4CA5" w:rsidP="0040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7046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27EF" w:rsidRDefault="00D927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1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28BF" w:rsidRDefault="004028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CA5" w:rsidRDefault="00AA4CA5" w:rsidP="004028BF">
      <w:pPr>
        <w:spacing w:after="0" w:line="240" w:lineRule="auto"/>
      </w:pPr>
      <w:r>
        <w:separator/>
      </w:r>
    </w:p>
  </w:footnote>
  <w:footnote w:type="continuationSeparator" w:id="0">
    <w:p w:rsidR="00AA4CA5" w:rsidRDefault="00AA4CA5" w:rsidP="00402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48" w:rsidRPr="00B14D83" w:rsidRDefault="00490548" w:rsidP="00A141F4">
    <w:pPr>
      <w:pStyle w:val="Header"/>
      <w:jc w:val="right"/>
      <w:rPr>
        <w:rFonts w:cstheme="minorHAnsi"/>
        <w:smallCaps/>
        <w:color w:val="ED7D31" w:themeColor="accent2"/>
        <w:sz w:val="36"/>
        <w:szCs w:val="36"/>
      </w:rPr>
    </w:pPr>
    <w:r>
      <w:rPr>
        <w:rFonts w:ascii="Open Sans" w:hAnsi="Open Sans"/>
        <w:noProof/>
        <w:color w:val="1D2997"/>
        <w:lang w:val="en-US"/>
      </w:rPr>
      <w:drawing>
        <wp:anchor distT="0" distB="0" distL="114300" distR="114300" simplePos="0" relativeHeight="251657216" behindDoc="1" locked="0" layoutInCell="1" allowOverlap="1" wp14:anchorId="5876BE77" wp14:editId="5E75C9F9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1362075" cy="541020"/>
          <wp:effectExtent l="0" t="0" r="9525" b="0"/>
          <wp:wrapTight wrapText="bothSides">
            <wp:wrapPolygon edited="0">
              <wp:start x="0" y="0"/>
              <wp:lineTo x="0" y="20535"/>
              <wp:lineTo x="21449" y="20535"/>
              <wp:lineTo x="21449" y="0"/>
              <wp:lineTo x="0" y="0"/>
            </wp:wrapPolygon>
          </wp:wrapTight>
          <wp:docPr id="1" name="Picture 1" descr="Northern Ireland Audit Office">
            <a:hlinkClick xmlns:a="http://schemas.openxmlformats.org/drawingml/2006/main" r:id="rId1" tooltip="&quot;Hom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thern Ireland Audit Office">
                    <a:hlinkClick r:id="rId1" tooltip="&quot;Hom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028BF" w:rsidRPr="00B97769" w:rsidRDefault="004028BF" w:rsidP="00490548">
    <w:pPr>
      <w:spacing w:after="0"/>
      <w:ind w:left="50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3B2"/>
    <w:multiLevelType w:val="hybridMultilevel"/>
    <w:tmpl w:val="E4B69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0E1C2C"/>
    <w:multiLevelType w:val="hybridMultilevel"/>
    <w:tmpl w:val="0C740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1351"/>
    <w:multiLevelType w:val="hybridMultilevel"/>
    <w:tmpl w:val="74520D86"/>
    <w:lvl w:ilvl="0" w:tplc="0409000F">
      <w:start w:val="1"/>
      <w:numFmt w:val="decimal"/>
      <w:lvlText w:val="%1."/>
      <w:lvlJc w:val="left"/>
      <w:pPr>
        <w:ind w:left="1458" w:hanging="360"/>
      </w:p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3" w15:restartNumberingAfterBreak="0">
    <w:nsid w:val="0E6E476E"/>
    <w:multiLevelType w:val="hybridMultilevel"/>
    <w:tmpl w:val="820EFBEC"/>
    <w:lvl w:ilvl="0" w:tplc="21947E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91BC5"/>
    <w:multiLevelType w:val="hybridMultilevel"/>
    <w:tmpl w:val="0D5E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22AE3"/>
    <w:multiLevelType w:val="hybridMultilevel"/>
    <w:tmpl w:val="22347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0173CD"/>
    <w:multiLevelType w:val="hybridMultilevel"/>
    <w:tmpl w:val="212E2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A2D34"/>
    <w:multiLevelType w:val="hybridMultilevel"/>
    <w:tmpl w:val="D64008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F60D1"/>
    <w:multiLevelType w:val="hybridMultilevel"/>
    <w:tmpl w:val="08F4EE98"/>
    <w:lvl w:ilvl="0" w:tplc="BDDE8D5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650CE"/>
    <w:multiLevelType w:val="hybridMultilevel"/>
    <w:tmpl w:val="83F49820"/>
    <w:lvl w:ilvl="0" w:tplc="85FEC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B4785"/>
    <w:multiLevelType w:val="hybridMultilevel"/>
    <w:tmpl w:val="FC42107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5C186A"/>
    <w:multiLevelType w:val="hybridMultilevel"/>
    <w:tmpl w:val="81CCEC80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3EF61F1A"/>
    <w:multiLevelType w:val="hybridMultilevel"/>
    <w:tmpl w:val="CF4C1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A1AFC"/>
    <w:multiLevelType w:val="hybridMultilevel"/>
    <w:tmpl w:val="211A6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4741E"/>
    <w:multiLevelType w:val="hybridMultilevel"/>
    <w:tmpl w:val="25DAA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6C4CA2"/>
    <w:multiLevelType w:val="hybridMultilevel"/>
    <w:tmpl w:val="5F0A9D74"/>
    <w:lvl w:ilvl="0" w:tplc="11CAB1D2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4E5199"/>
    <w:multiLevelType w:val="hybridMultilevel"/>
    <w:tmpl w:val="6164B03C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7" w15:restartNumberingAfterBreak="0">
    <w:nsid w:val="52735858"/>
    <w:multiLevelType w:val="hybridMultilevel"/>
    <w:tmpl w:val="F8CC3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254C2"/>
    <w:multiLevelType w:val="hybridMultilevel"/>
    <w:tmpl w:val="98023282"/>
    <w:lvl w:ilvl="0" w:tplc="38A6B692">
      <w:start w:val="1"/>
      <w:numFmt w:val="bullet"/>
      <w:lvlText w:val="-"/>
      <w:lvlJc w:val="left"/>
      <w:pPr>
        <w:ind w:left="216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19" w15:restartNumberingAfterBreak="0">
    <w:nsid w:val="5AA377DC"/>
    <w:multiLevelType w:val="hybridMultilevel"/>
    <w:tmpl w:val="5258671A"/>
    <w:lvl w:ilvl="0" w:tplc="11CAB1D2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D0B2F52"/>
    <w:multiLevelType w:val="multilevel"/>
    <w:tmpl w:val="1340E3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5DC52618"/>
    <w:multiLevelType w:val="hybridMultilevel"/>
    <w:tmpl w:val="93BA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8A6B69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A6B40"/>
    <w:multiLevelType w:val="hybridMultilevel"/>
    <w:tmpl w:val="751C4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991FD5"/>
    <w:multiLevelType w:val="hybridMultilevel"/>
    <w:tmpl w:val="497A2920"/>
    <w:lvl w:ilvl="0" w:tplc="C07E2C98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A77CF"/>
    <w:multiLevelType w:val="multilevel"/>
    <w:tmpl w:val="5978E93E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6C1E4F"/>
    <w:multiLevelType w:val="hybridMultilevel"/>
    <w:tmpl w:val="052820E4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38A6B692">
      <w:start w:val="1"/>
      <w:numFmt w:val="bullet"/>
      <w:lvlText w:val="-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666F025B"/>
    <w:multiLevelType w:val="hybridMultilevel"/>
    <w:tmpl w:val="212E2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96E1C"/>
    <w:multiLevelType w:val="hybridMultilevel"/>
    <w:tmpl w:val="09569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05D5"/>
    <w:multiLevelType w:val="hybridMultilevel"/>
    <w:tmpl w:val="211A6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E7070"/>
    <w:multiLevelType w:val="hybridMultilevel"/>
    <w:tmpl w:val="FB30039E"/>
    <w:lvl w:ilvl="0" w:tplc="4348A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A6B69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B4338"/>
    <w:multiLevelType w:val="hybridMultilevel"/>
    <w:tmpl w:val="E2DCB4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0"/>
  </w:num>
  <w:num w:numId="4">
    <w:abstractNumId w:val="9"/>
  </w:num>
  <w:num w:numId="5">
    <w:abstractNumId w:val="3"/>
  </w:num>
  <w:num w:numId="6">
    <w:abstractNumId w:val="17"/>
  </w:num>
  <w:num w:numId="7">
    <w:abstractNumId w:val="15"/>
  </w:num>
  <w:num w:numId="8">
    <w:abstractNumId w:val="11"/>
  </w:num>
  <w:num w:numId="9">
    <w:abstractNumId w:val="13"/>
  </w:num>
  <w:num w:numId="10">
    <w:abstractNumId w:val="28"/>
  </w:num>
  <w:num w:numId="11">
    <w:abstractNumId w:val="29"/>
  </w:num>
  <w:num w:numId="12">
    <w:abstractNumId w:val="23"/>
  </w:num>
  <w:num w:numId="13">
    <w:abstractNumId w:val="27"/>
  </w:num>
  <w:num w:numId="14">
    <w:abstractNumId w:val="25"/>
  </w:num>
  <w:num w:numId="15">
    <w:abstractNumId w:val="30"/>
  </w:num>
  <w:num w:numId="16">
    <w:abstractNumId w:val="5"/>
  </w:num>
  <w:num w:numId="17">
    <w:abstractNumId w:val="22"/>
  </w:num>
  <w:num w:numId="18">
    <w:abstractNumId w:val="24"/>
  </w:num>
  <w:num w:numId="19">
    <w:abstractNumId w:val="1"/>
  </w:num>
  <w:num w:numId="20">
    <w:abstractNumId w:val="26"/>
  </w:num>
  <w:num w:numId="21">
    <w:abstractNumId w:val="8"/>
  </w:num>
  <w:num w:numId="22">
    <w:abstractNumId w:val="18"/>
  </w:num>
  <w:num w:numId="23">
    <w:abstractNumId w:val="22"/>
  </w:num>
  <w:num w:numId="24">
    <w:abstractNumId w:val="21"/>
  </w:num>
  <w:num w:numId="25">
    <w:abstractNumId w:val="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0"/>
  </w:num>
  <w:num w:numId="29">
    <w:abstractNumId w:val="12"/>
  </w:num>
  <w:num w:numId="30">
    <w:abstractNumId w:val="14"/>
  </w:num>
  <w:num w:numId="31">
    <w:abstractNumId w:val="1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9F"/>
    <w:rsid w:val="000041EA"/>
    <w:rsid w:val="00004F82"/>
    <w:rsid w:val="00010730"/>
    <w:rsid w:val="000108F5"/>
    <w:rsid w:val="00010EB8"/>
    <w:rsid w:val="0001111E"/>
    <w:rsid w:val="00020DE9"/>
    <w:rsid w:val="0002281C"/>
    <w:rsid w:val="00022FE5"/>
    <w:rsid w:val="0002400E"/>
    <w:rsid w:val="00026792"/>
    <w:rsid w:val="00037800"/>
    <w:rsid w:val="000441C0"/>
    <w:rsid w:val="00050D3D"/>
    <w:rsid w:val="00052419"/>
    <w:rsid w:val="0006371A"/>
    <w:rsid w:val="00070E9E"/>
    <w:rsid w:val="00071474"/>
    <w:rsid w:val="00071E21"/>
    <w:rsid w:val="00073551"/>
    <w:rsid w:val="000805DD"/>
    <w:rsid w:val="00083784"/>
    <w:rsid w:val="00083B8F"/>
    <w:rsid w:val="000878B9"/>
    <w:rsid w:val="00091384"/>
    <w:rsid w:val="00091CBD"/>
    <w:rsid w:val="000920BA"/>
    <w:rsid w:val="00094559"/>
    <w:rsid w:val="00096043"/>
    <w:rsid w:val="000A012C"/>
    <w:rsid w:val="000B034E"/>
    <w:rsid w:val="000B0CCD"/>
    <w:rsid w:val="000B2AAC"/>
    <w:rsid w:val="000B3926"/>
    <w:rsid w:val="000B3FA1"/>
    <w:rsid w:val="000C187C"/>
    <w:rsid w:val="000C3737"/>
    <w:rsid w:val="000C48C9"/>
    <w:rsid w:val="000C5B38"/>
    <w:rsid w:val="000C689D"/>
    <w:rsid w:val="000C6EA0"/>
    <w:rsid w:val="000C7C87"/>
    <w:rsid w:val="000D57CB"/>
    <w:rsid w:val="000E0E0F"/>
    <w:rsid w:val="000E562D"/>
    <w:rsid w:val="000E6C88"/>
    <w:rsid w:val="000F0FD8"/>
    <w:rsid w:val="000F195B"/>
    <w:rsid w:val="000F24D1"/>
    <w:rsid w:val="000F276E"/>
    <w:rsid w:val="000F38B0"/>
    <w:rsid w:val="000F6567"/>
    <w:rsid w:val="000F7A39"/>
    <w:rsid w:val="00104D8E"/>
    <w:rsid w:val="001056C6"/>
    <w:rsid w:val="00105DE8"/>
    <w:rsid w:val="001102A9"/>
    <w:rsid w:val="00110BE3"/>
    <w:rsid w:val="001126D2"/>
    <w:rsid w:val="00123752"/>
    <w:rsid w:val="00125CDE"/>
    <w:rsid w:val="0012607A"/>
    <w:rsid w:val="00131113"/>
    <w:rsid w:val="00134360"/>
    <w:rsid w:val="001344F1"/>
    <w:rsid w:val="00136012"/>
    <w:rsid w:val="001375B6"/>
    <w:rsid w:val="00147E44"/>
    <w:rsid w:val="001522EE"/>
    <w:rsid w:val="001535FB"/>
    <w:rsid w:val="00154845"/>
    <w:rsid w:val="00155603"/>
    <w:rsid w:val="00155E38"/>
    <w:rsid w:val="0015666B"/>
    <w:rsid w:val="00156A45"/>
    <w:rsid w:val="0016284C"/>
    <w:rsid w:val="001628C3"/>
    <w:rsid w:val="00166138"/>
    <w:rsid w:val="00170BE1"/>
    <w:rsid w:val="00175CA3"/>
    <w:rsid w:val="00176FD5"/>
    <w:rsid w:val="001806C1"/>
    <w:rsid w:val="00183AF1"/>
    <w:rsid w:val="00192535"/>
    <w:rsid w:val="00192B65"/>
    <w:rsid w:val="001A1B65"/>
    <w:rsid w:val="001B4698"/>
    <w:rsid w:val="001B51F0"/>
    <w:rsid w:val="001C17A7"/>
    <w:rsid w:val="001C1EAF"/>
    <w:rsid w:val="001C4049"/>
    <w:rsid w:val="001C45B1"/>
    <w:rsid w:val="001C7677"/>
    <w:rsid w:val="001E05CA"/>
    <w:rsid w:val="001E1229"/>
    <w:rsid w:val="001E2EA3"/>
    <w:rsid w:val="001E41AC"/>
    <w:rsid w:val="001E5B94"/>
    <w:rsid w:val="001F24CF"/>
    <w:rsid w:val="001F2A48"/>
    <w:rsid w:val="0020643A"/>
    <w:rsid w:val="00210544"/>
    <w:rsid w:val="00210C5B"/>
    <w:rsid w:val="00213229"/>
    <w:rsid w:val="00216661"/>
    <w:rsid w:val="00221729"/>
    <w:rsid w:val="00222D41"/>
    <w:rsid w:val="0022731D"/>
    <w:rsid w:val="0023168A"/>
    <w:rsid w:val="002434A3"/>
    <w:rsid w:val="00244C73"/>
    <w:rsid w:val="00245850"/>
    <w:rsid w:val="002469A4"/>
    <w:rsid w:val="00247325"/>
    <w:rsid w:val="00250340"/>
    <w:rsid w:val="002507D2"/>
    <w:rsid w:val="00250809"/>
    <w:rsid w:val="002555A6"/>
    <w:rsid w:val="0025588B"/>
    <w:rsid w:val="00255ACA"/>
    <w:rsid w:val="0025674F"/>
    <w:rsid w:val="00265A11"/>
    <w:rsid w:val="00273AE5"/>
    <w:rsid w:val="00275F91"/>
    <w:rsid w:val="0027669F"/>
    <w:rsid w:val="00277494"/>
    <w:rsid w:val="0029265E"/>
    <w:rsid w:val="002951AC"/>
    <w:rsid w:val="002A3549"/>
    <w:rsid w:val="002A7D7C"/>
    <w:rsid w:val="002B1D3B"/>
    <w:rsid w:val="002B2374"/>
    <w:rsid w:val="002B2379"/>
    <w:rsid w:val="002B2957"/>
    <w:rsid w:val="002B4CC4"/>
    <w:rsid w:val="002C08F2"/>
    <w:rsid w:val="002C4F55"/>
    <w:rsid w:val="002D1AE4"/>
    <w:rsid w:val="002D23E7"/>
    <w:rsid w:val="002D42C3"/>
    <w:rsid w:val="002D5AC0"/>
    <w:rsid w:val="002E0BB3"/>
    <w:rsid w:val="002E5F14"/>
    <w:rsid w:val="002E675C"/>
    <w:rsid w:val="002E6DF5"/>
    <w:rsid w:val="002E749F"/>
    <w:rsid w:val="002F045C"/>
    <w:rsid w:val="002F1113"/>
    <w:rsid w:val="002F1876"/>
    <w:rsid w:val="002F1D23"/>
    <w:rsid w:val="002F4618"/>
    <w:rsid w:val="002F4B7E"/>
    <w:rsid w:val="002F7399"/>
    <w:rsid w:val="0030243A"/>
    <w:rsid w:val="00304C52"/>
    <w:rsid w:val="0030664C"/>
    <w:rsid w:val="00311A4A"/>
    <w:rsid w:val="00312C2D"/>
    <w:rsid w:val="0031605D"/>
    <w:rsid w:val="003167FF"/>
    <w:rsid w:val="003220D6"/>
    <w:rsid w:val="00323587"/>
    <w:rsid w:val="00323D8E"/>
    <w:rsid w:val="00324BB2"/>
    <w:rsid w:val="0032590B"/>
    <w:rsid w:val="00332BCD"/>
    <w:rsid w:val="00334A67"/>
    <w:rsid w:val="0033717C"/>
    <w:rsid w:val="003419C1"/>
    <w:rsid w:val="00347734"/>
    <w:rsid w:val="00351067"/>
    <w:rsid w:val="00353F4E"/>
    <w:rsid w:val="00355815"/>
    <w:rsid w:val="00356911"/>
    <w:rsid w:val="0036489A"/>
    <w:rsid w:val="0036663C"/>
    <w:rsid w:val="0037119A"/>
    <w:rsid w:val="00375266"/>
    <w:rsid w:val="00377BDF"/>
    <w:rsid w:val="003853AF"/>
    <w:rsid w:val="00390DF2"/>
    <w:rsid w:val="0039695F"/>
    <w:rsid w:val="003A2770"/>
    <w:rsid w:val="003A5C7A"/>
    <w:rsid w:val="003B2EB8"/>
    <w:rsid w:val="003B3719"/>
    <w:rsid w:val="003B43C7"/>
    <w:rsid w:val="003C72E2"/>
    <w:rsid w:val="003D1B47"/>
    <w:rsid w:val="003D52C1"/>
    <w:rsid w:val="003D68BF"/>
    <w:rsid w:val="003D69BF"/>
    <w:rsid w:val="003D7787"/>
    <w:rsid w:val="003E1748"/>
    <w:rsid w:val="003E767C"/>
    <w:rsid w:val="003E7AD8"/>
    <w:rsid w:val="003F190C"/>
    <w:rsid w:val="003F2E49"/>
    <w:rsid w:val="003F4623"/>
    <w:rsid w:val="003F4842"/>
    <w:rsid w:val="003F4ACF"/>
    <w:rsid w:val="003F5D64"/>
    <w:rsid w:val="003F5FA5"/>
    <w:rsid w:val="003F60E2"/>
    <w:rsid w:val="003F6420"/>
    <w:rsid w:val="003F6DA4"/>
    <w:rsid w:val="00400958"/>
    <w:rsid w:val="0040124B"/>
    <w:rsid w:val="004028BF"/>
    <w:rsid w:val="00410092"/>
    <w:rsid w:val="00413385"/>
    <w:rsid w:val="00425110"/>
    <w:rsid w:val="00433457"/>
    <w:rsid w:val="00433E8A"/>
    <w:rsid w:val="004356CF"/>
    <w:rsid w:val="00436D43"/>
    <w:rsid w:val="00441910"/>
    <w:rsid w:val="00442EB3"/>
    <w:rsid w:val="00444292"/>
    <w:rsid w:val="0045363B"/>
    <w:rsid w:val="004552B3"/>
    <w:rsid w:val="00456D01"/>
    <w:rsid w:val="004610ED"/>
    <w:rsid w:val="004649E5"/>
    <w:rsid w:val="00464AD4"/>
    <w:rsid w:val="004656B3"/>
    <w:rsid w:val="00475224"/>
    <w:rsid w:val="00476E85"/>
    <w:rsid w:val="004816AD"/>
    <w:rsid w:val="004823A5"/>
    <w:rsid w:val="00482B27"/>
    <w:rsid w:val="00483DD7"/>
    <w:rsid w:val="00485CDE"/>
    <w:rsid w:val="00486757"/>
    <w:rsid w:val="00486996"/>
    <w:rsid w:val="00490548"/>
    <w:rsid w:val="00493C3F"/>
    <w:rsid w:val="004A1986"/>
    <w:rsid w:val="004A5F96"/>
    <w:rsid w:val="004A672E"/>
    <w:rsid w:val="004B1DAD"/>
    <w:rsid w:val="004B2DFB"/>
    <w:rsid w:val="004B367B"/>
    <w:rsid w:val="004B661A"/>
    <w:rsid w:val="004B6780"/>
    <w:rsid w:val="004C01F4"/>
    <w:rsid w:val="004C0D2C"/>
    <w:rsid w:val="004C15C1"/>
    <w:rsid w:val="004C1D5E"/>
    <w:rsid w:val="004C2CE2"/>
    <w:rsid w:val="004C5355"/>
    <w:rsid w:val="004D15A5"/>
    <w:rsid w:val="004D1F32"/>
    <w:rsid w:val="004D2758"/>
    <w:rsid w:val="004D365F"/>
    <w:rsid w:val="004E2979"/>
    <w:rsid w:val="004E3E7E"/>
    <w:rsid w:val="004E5063"/>
    <w:rsid w:val="004F3143"/>
    <w:rsid w:val="004F4F22"/>
    <w:rsid w:val="004F6776"/>
    <w:rsid w:val="004F783C"/>
    <w:rsid w:val="00505DE3"/>
    <w:rsid w:val="0051035B"/>
    <w:rsid w:val="0051476C"/>
    <w:rsid w:val="005172AC"/>
    <w:rsid w:val="00520063"/>
    <w:rsid w:val="00527B51"/>
    <w:rsid w:val="0053762B"/>
    <w:rsid w:val="005473EB"/>
    <w:rsid w:val="00547888"/>
    <w:rsid w:val="00555248"/>
    <w:rsid w:val="00562575"/>
    <w:rsid w:val="0056310B"/>
    <w:rsid w:val="00574970"/>
    <w:rsid w:val="00574C1F"/>
    <w:rsid w:val="00577B99"/>
    <w:rsid w:val="00584C8F"/>
    <w:rsid w:val="0058547F"/>
    <w:rsid w:val="005909C3"/>
    <w:rsid w:val="00590EF7"/>
    <w:rsid w:val="00593455"/>
    <w:rsid w:val="00595BF5"/>
    <w:rsid w:val="005A1B4D"/>
    <w:rsid w:val="005A254D"/>
    <w:rsid w:val="005A48AB"/>
    <w:rsid w:val="005B2291"/>
    <w:rsid w:val="005B5ECF"/>
    <w:rsid w:val="005C1C75"/>
    <w:rsid w:val="005C5F55"/>
    <w:rsid w:val="005C610D"/>
    <w:rsid w:val="005C6419"/>
    <w:rsid w:val="005D049A"/>
    <w:rsid w:val="005D1EAD"/>
    <w:rsid w:val="005D2F7C"/>
    <w:rsid w:val="005D53D6"/>
    <w:rsid w:val="005E12DE"/>
    <w:rsid w:val="00611205"/>
    <w:rsid w:val="0061236A"/>
    <w:rsid w:val="00612F6B"/>
    <w:rsid w:val="00622852"/>
    <w:rsid w:val="0062322E"/>
    <w:rsid w:val="00626ED5"/>
    <w:rsid w:val="00631157"/>
    <w:rsid w:val="00644A6D"/>
    <w:rsid w:val="00646A65"/>
    <w:rsid w:val="006475D0"/>
    <w:rsid w:val="006504D9"/>
    <w:rsid w:val="00652C06"/>
    <w:rsid w:val="00654227"/>
    <w:rsid w:val="006623CE"/>
    <w:rsid w:val="006658BF"/>
    <w:rsid w:val="006701D5"/>
    <w:rsid w:val="006776C8"/>
    <w:rsid w:val="00677EB7"/>
    <w:rsid w:val="00680B6D"/>
    <w:rsid w:val="00685E77"/>
    <w:rsid w:val="0069229F"/>
    <w:rsid w:val="00693A60"/>
    <w:rsid w:val="00694201"/>
    <w:rsid w:val="006A090F"/>
    <w:rsid w:val="006A2AD3"/>
    <w:rsid w:val="006A4A36"/>
    <w:rsid w:val="006A4E35"/>
    <w:rsid w:val="006B13B5"/>
    <w:rsid w:val="006B4E43"/>
    <w:rsid w:val="006B6296"/>
    <w:rsid w:val="006C0B80"/>
    <w:rsid w:val="006C2810"/>
    <w:rsid w:val="006C3C17"/>
    <w:rsid w:val="006C58A2"/>
    <w:rsid w:val="006D1333"/>
    <w:rsid w:val="006E0583"/>
    <w:rsid w:val="006E4027"/>
    <w:rsid w:val="006E4471"/>
    <w:rsid w:val="006E6240"/>
    <w:rsid w:val="006F014B"/>
    <w:rsid w:val="006F46B4"/>
    <w:rsid w:val="006F6C2D"/>
    <w:rsid w:val="006F6FB0"/>
    <w:rsid w:val="0070119F"/>
    <w:rsid w:val="00704D75"/>
    <w:rsid w:val="00705A0B"/>
    <w:rsid w:val="007174B0"/>
    <w:rsid w:val="007216FA"/>
    <w:rsid w:val="00721B4A"/>
    <w:rsid w:val="0072253A"/>
    <w:rsid w:val="00724E6C"/>
    <w:rsid w:val="00727E5C"/>
    <w:rsid w:val="00727E9A"/>
    <w:rsid w:val="007326B4"/>
    <w:rsid w:val="00732AF8"/>
    <w:rsid w:val="00732EFC"/>
    <w:rsid w:val="007348DA"/>
    <w:rsid w:val="007358D7"/>
    <w:rsid w:val="00735D71"/>
    <w:rsid w:val="00741028"/>
    <w:rsid w:val="0074523C"/>
    <w:rsid w:val="007459F0"/>
    <w:rsid w:val="00746488"/>
    <w:rsid w:val="007501C9"/>
    <w:rsid w:val="00750E3A"/>
    <w:rsid w:val="00760639"/>
    <w:rsid w:val="00762E9F"/>
    <w:rsid w:val="00764668"/>
    <w:rsid w:val="00765CF1"/>
    <w:rsid w:val="00773344"/>
    <w:rsid w:val="007763A1"/>
    <w:rsid w:val="00777F2B"/>
    <w:rsid w:val="007842F7"/>
    <w:rsid w:val="00784613"/>
    <w:rsid w:val="00792680"/>
    <w:rsid w:val="00793DAD"/>
    <w:rsid w:val="00793E3A"/>
    <w:rsid w:val="00794F4B"/>
    <w:rsid w:val="00796898"/>
    <w:rsid w:val="007A0F32"/>
    <w:rsid w:val="007A10C3"/>
    <w:rsid w:val="007A1C30"/>
    <w:rsid w:val="007A3F3B"/>
    <w:rsid w:val="007A5D90"/>
    <w:rsid w:val="007A6838"/>
    <w:rsid w:val="007A6A6B"/>
    <w:rsid w:val="007B2DA8"/>
    <w:rsid w:val="007B3710"/>
    <w:rsid w:val="007B47A9"/>
    <w:rsid w:val="007C10B6"/>
    <w:rsid w:val="007D33FE"/>
    <w:rsid w:val="007D4ECA"/>
    <w:rsid w:val="007D7D3C"/>
    <w:rsid w:val="007D7E73"/>
    <w:rsid w:val="007E33AC"/>
    <w:rsid w:val="007E694B"/>
    <w:rsid w:val="007F2F28"/>
    <w:rsid w:val="007F37AB"/>
    <w:rsid w:val="007F427B"/>
    <w:rsid w:val="007F499F"/>
    <w:rsid w:val="007F727C"/>
    <w:rsid w:val="008007B8"/>
    <w:rsid w:val="00806512"/>
    <w:rsid w:val="008116E7"/>
    <w:rsid w:val="008121F2"/>
    <w:rsid w:val="00815AA9"/>
    <w:rsid w:val="00821922"/>
    <w:rsid w:val="0082560A"/>
    <w:rsid w:val="00825967"/>
    <w:rsid w:val="008259AF"/>
    <w:rsid w:val="00827F8E"/>
    <w:rsid w:val="0083112E"/>
    <w:rsid w:val="008314A4"/>
    <w:rsid w:val="00831CD2"/>
    <w:rsid w:val="008365E3"/>
    <w:rsid w:val="00843A5D"/>
    <w:rsid w:val="00857431"/>
    <w:rsid w:val="00857D65"/>
    <w:rsid w:val="00860568"/>
    <w:rsid w:val="0086116B"/>
    <w:rsid w:val="0086197C"/>
    <w:rsid w:val="0086280A"/>
    <w:rsid w:val="0086337A"/>
    <w:rsid w:val="0086346A"/>
    <w:rsid w:val="008639A0"/>
    <w:rsid w:val="008640BF"/>
    <w:rsid w:val="00865EAC"/>
    <w:rsid w:val="00865FD9"/>
    <w:rsid w:val="00872487"/>
    <w:rsid w:val="008725B1"/>
    <w:rsid w:val="00883690"/>
    <w:rsid w:val="0089048F"/>
    <w:rsid w:val="00894839"/>
    <w:rsid w:val="008955B8"/>
    <w:rsid w:val="008967EC"/>
    <w:rsid w:val="00897657"/>
    <w:rsid w:val="008A2A88"/>
    <w:rsid w:val="008A5D1D"/>
    <w:rsid w:val="008B1455"/>
    <w:rsid w:val="008B4C98"/>
    <w:rsid w:val="008B5930"/>
    <w:rsid w:val="008B6AA1"/>
    <w:rsid w:val="008C1B62"/>
    <w:rsid w:val="008C5154"/>
    <w:rsid w:val="008C56B5"/>
    <w:rsid w:val="008D1F25"/>
    <w:rsid w:val="008D2437"/>
    <w:rsid w:val="008D2FF7"/>
    <w:rsid w:val="008D3DCC"/>
    <w:rsid w:val="008D4E3C"/>
    <w:rsid w:val="008D5E2F"/>
    <w:rsid w:val="008D607A"/>
    <w:rsid w:val="008E12E8"/>
    <w:rsid w:val="008E2795"/>
    <w:rsid w:val="008E52A2"/>
    <w:rsid w:val="008E5C0D"/>
    <w:rsid w:val="008E69E1"/>
    <w:rsid w:val="008F1B38"/>
    <w:rsid w:val="008F2509"/>
    <w:rsid w:val="008F41E5"/>
    <w:rsid w:val="008F4923"/>
    <w:rsid w:val="008F7C07"/>
    <w:rsid w:val="008F7C50"/>
    <w:rsid w:val="009139E3"/>
    <w:rsid w:val="00913A8A"/>
    <w:rsid w:val="00916DAA"/>
    <w:rsid w:val="00920DF1"/>
    <w:rsid w:val="00921042"/>
    <w:rsid w:val="00925002"/>
    <w:rsid w:val="009272CA"/>
    <w:rsid w:val="00927911"/>
    <w:rsid w:val="009307EB"/>
    <w:rsid w:val="00931ACF"/>
    <w:rsid w:val="00933A37"/>
    <w:rsid w:val="00935C2B"/>
    <w:rsid w:val="0094056F"/>
    <w:rsid w:val="0094417A"/>
    <w:rsid w:val="00951A98"/>
    <w:rsid w:val="0095281B"/>
    <w:rsid w:val="0095751C"/>
    <w:rsid w:val="00957E0C"/>
    <w:rsid w:val="00962E93"/>
    <w:rsid w:val="00966800"/>
    <w:rsid w:val="00972CB0"/>
    <w:rsid w:val="00973D5F"/>
    <w:rsid w:val="0097715B"/>
    <w:rsid w:val="009805F1"/>
    <w:rsid w:val="00982AA1"/>
    <w:rsid w:val="00984644"/>
    <w:rsid w:val="0098653C"/>
    <w:rsid w:val="0099272D"/>
    <w:rsid w:val="009A06B0"/>
    <w:rsid w:val="009A2743"/>
    <w:rsid w:val="009A3B5E"/>
    <w:rsid w:val="009B082D"/>
    <w:rsid w:val="009B4BA9"/>
    <w:rsid w:val="009B5E21"/>
    <w:rsid w:val="009C21B4"/>
    <w:rsid w:val="009C26C9"/>
    <w:rsid w:val="009D0FCE"/>
    <w:rsid w:val="009D302B"/>
    <w:rsid w:val="009D31D4"/>
    <w:rsid w:val="009D529B"/>
    <w:rsid w:val="009D769B"/>
    <w:rsid w:val="009D7CA5"/>
    <w:rsid w:val="009E10B8"/>
    <w:rsid w:val="009F35F9"/>
    <w:rsid w:val="009F5339"/>
    <w:rsid w:val="00A029A5"/>
    <w:rsid w:val="00A04217"/>
    <w:rsid w:val="00A06DFF"/>
    <w:rsid w:val="00A07569"/>
    <w:rsid w:val="00A10456"/>
    <w:rsid w:val="00A141F4"/>
    <w:rsid w:val="00A166AD"/>
    <w:rsid w:val="00A23168"/>
    <w:rsid w:val="00A23857"/>
    <w:rsid w:val="00A23ECE"/>
    <w:rsid w:val="00A33337"/>
    <w:rsid w:val="00A354D5"/>
    <w:rsid w:val="00A37648"/>
    <w:rsid w:val="00A42BC8"/>
    <w:rsid w:val="00A42C8B"/>
    <w:rsid w:val="00A44173"/>
    <w:rsid w:val="00A45FC3"/>
    <w:rsid w:val="00A465AF"/>
    <w:rsid w:val="00A51261"/>
    <w:rsid w:val="00A51966"/>
    <w:rsid w:val="00A5566B"/>
    <w:rsid w:val="00A60E25"/>
    <w:rsid w:val="00A61828"/>
    <w:rsid w:val="00A6372D"/>
    <w:rsid w:val="00A6387A"/>
    <w:rsid w:val="00A678FE"/>
    <w:rsid w:val="00A723FF"/>
    <w:rsid w:val="00A7500B"/>
    <w:rsid w:val="00A85CCB"/>
    <w:rsid w:val="00A917A4"/>
    <w:rsid w:val="00A944D4"/>
    <w:rsid w:val="00AA4CA5"/>
    <w:rsid w:val="00AB1405"/>
    <w:rsid w:val="00AB3538"/>
    <w:rsid w:val="00AC47D6"/>
    <w:rsid w:val="00AC4A74"/>
    <w:rsid w:val="00AC4BC8"/>
    <w:rsid w:val="00AC614B"/>
    <w:rsid w:val="00AC6808"/>
    <w:rsid w:val="00AD2134"/>
    <w:rsid w:val="00AD299B"/>
    <w:rsid w:val="00AD7823"/>
    <w:rsid w:val="00AE0570"/>
    <w:rsid w:val="00AE0766"/>
    <w:rsid w:val="00AE2EDA"/>
    <w:rsid w:val="00AE57FC"/>
    <w:rsid w:val="00AE7759"/>
    <w:rsid w:val="00AF5E17"/>
    <w:rsid w:val="00AF602B"/>
    <w:rsid w:val="00B00E60"/>
    <w:rsid w:val="00B01DD5"/>
    <w:rsid w:val="00B1374C"/>
    <w:rsid w:val="00B13AA2"/>
    <w:rsid w:val="00B170D6"/>
    <w:rsid w:val="00B20ACA"/>
    <w:rsid w:val="00B27587"/>
    <w:rsid w:val="00B314B2"/>
    <w:rsid w:val="00B34217"/>
    <w:rsid w:val="00B3677E"/>
    <w:rsid w:val="00B368EE"/>
    <w:rsid w:val="00B3793F"/>
    <w:rsid w:val="00B4046C"/>
    <w:rsid w:val="00B43AC7"/>
    <w:rsid w:val="00B447BC"/>
    <w:rsid w:val="00B449B8"/>
    <w:rsid w:val="00B52A35"/>
    <w:rsid w:val="00B630BE"/>
    <w:rsid w:val="00B63CD9"/>
    <w:rsid w:val="00B65BD6"/>
    <w:rsid w:val="00B72148"/>
    <w:rsid w:val="00B7395C"/>
    <w:rsid w:val="00B76502"/>
    <w:rsid w:val="00B8393A"/>
    <w:rsid w:val="00B90EBD"/>
    <w:rsid w:val="00B92483"/>
    <w:rsid w:val="00B95A2A"/>
    <w:rsid w:val="00B97769"/>
    <w:rsid w:val="00BA3A9A"/>
    <w:rsid w:val="00BB32E8"/>
    <w:rsid w:val="00BC2BAD"/>
    <w:rsid w:val="00BC4FE0"/>
    <w:rsid w:val="00BD0F91"/>
    <w:rsid w:val="00BD22D0"/>
    <w:rsid w:val="00BD3650"/>
    <w:rsid w:val="00BD40EF"/>
    <w:rsid w:val="00BD608C"/>
    <w:rsid w:val="00BD7DC1"/>
    <w:rsid w:val="00BE5502"/>
    <w:rsid w:val="00BF026F"/>
    <w:rsid w:val="00BF4A24"/>
    <w:rsid w:val="00BF5117"/>
    <w:rsid w:val="00BF791F"/>
    <w:rsid w:val="00C02450"/>
    <w:rsid w:val="00C027E9"/>
    <w:rsid w:val="00C07713"/>
    <w:rsid w:val="00C11051"/>
    <w:rsid w:val="00C13A73"/>
    <w:rsid w:val="00C209FA"/>
    <w:rsid w:val="00C27B2B"/>
    <w:rsid w:val="00C3042D"/>
    <w:rsid w:val="00C32AC3"/>
    <w:rsid w:val="00C32E53"/>
    <w:rsid w:val="00C33A33"/>
    <w:rsid w:val="00C36932"/>
    <w:rsid w:val="00C36F00"/>
    <w:rsid w:val="00C42C4D"/>
    <w:rsid w:val="00C46FD6"/>
    <w:rsid w:val="00C514B8"/>
    <w:rsid w:val="00C516F8"/>
    <w:rsid w:val="00C53933"/>
    <w:rsid w:val="00C54306"/>
    <w:rsid w:val="00C5657D"/>
    <w:rsid w:val="00C61B83"/>
    <w:rsid w:val="00C63029"/>
    <w:rsid w:val="00C638E5"/>
    <w:rsid w:val="00C709C7"/>
    <w:rsid w:val="00C7146E"/>
    <w:rsid w:val="00C722B4"/>
    <w:rsid w:val="00C73296"/>
    <w:rsid w:val="00C734A6"/>
    <w:rsid w:val="00C77295"/>
    <w:rsid w:val="00C80CD8"/>
    <w:rsid w:val="00C81645"/>
    <w:rsid w:val="00C857EE"/>
    <w:rsid w:val="00C942A2"/>
    <w:rsid w:val="00C95EE2"/>
    <w:rsid w:val="00C968BA"/>
    <w:rsid w:val="00CA0402"/>
    <w:rsid w:val="00CA1C27"/>
    <w:rsid w:val="00CA29A8"/>
    <w:rsid w:val="00CA4D62"/>
    <w:rsid w:val="00CB01E6"/>
    <w:rsid w:val="00CB1EB6"/>
    <w:rsid w:val="00CB43B0"/>
    <w:rsid w:val="00CB6EF5"/>
    <w:rsid w:val="00CC4C44"/>
    <w:rsid w:val="00CC64E8"/>
    <w:rsid w:val="00CD2234"/>
    <w:rsid w:val="00CD38A4"/>
    <w:rsid w:val="00CD4A05"/>
    <w:rsid w:val="00CE4BC0"/>
    <w:rsid w:val="00CF331F"/>
    <w:rsid w:val="00CF41A8"/>
    <w:rsid w:val="00D00F17"/>
    <w:rsid w:val="00D02A33"/>
    <w:rsid w:val="00D06728"/>
    <w:rsid w:val="00D06DA7"/>
    <w:rsid w:val="00D15831"/>
    <w:rsid w:val="00D170DE"/>
    <w:rsid w:val="00D179EC"/>
    <w:rsid w:val="00D229B4"/>
    <w:rsid w:val="00D23912"/>
    <w:rsid w:val="00D23E70"/>
    <w:rsid w:val="00D27A02"/>
    <w:rsid w:val="00D27ACA"/>
    <w:rsid w:val="00D27D8D"/>
    <w:rsid w:val="00D32A95"/>
    <w:rsid w:val="00D3418D"/>
    <w:rsid w:val="00D41F6A"/>
    <w:rsid w:val="00D428B5"/>
    <w:rsid w:val="00D44090"/>
    <w:rsid w:val="00D45AA8"/>
    <w:rsid w:val="00D46D71"/>
    <w:rsid w:val="00D510AD"/>
    <w:rsid w:val="00D5215A"/>
    <w:rsid w:val="00D52690"/>
    <w:rsid w:val="00D53AAF"/>
    <w:rsid w:val="00D549ED"/>
    <w:rsid w:val="00D62E4C"/>
    <w:rsid w:val="00D63B2B"/>
    <w:rsid w:val="00D64795"/>
    <w:rsid w:val="00D73E95"/>
    <w:rsid w:val="00D771BE"/>
    <w:rsid w:val="00D819E1"/>
    <w:rsid w:val="00D81C70"/>
    <w:rsid w:val="00D85549"/>
    <w:rsid w:val="00D8588D"/>
    <w:rsid w:val="00D86F76"/>
    <w:rsid w:val="00D87B39"/>
    <w:rsid w:val="00D927EF"/>
    <w:rsid w:val="00D9349E"/>
    <w:rsid w:val="00D971A5"/>
    <w:rsid w:val="00DA5ADB"/>
    <w:rsid w:val="00DA6BD8"/>
    <w:rsid w:val="00DA6ED6"/>
    <w:rsid w:val="00DB24CE"/>
    <w:rsid w:val="00DB6E40"/>
    <w:rsid w:val="00DC447A"/>
    <w:rsid w:val="00DC6FA9"/>
    <w:rsid w:val="00DC7EA7"/>
    <w:rsid w:val="00DD7A86"/>
    <w:rsid w:val="00DE2872"/>
    <w:rsid w:val="00DE4457"/>
    <w:rsid w:val="00DE4EA8"/>
    <w:rsid w:val="00DE7C72"/>
    <w:rsid w:val="00DF0418"/>
    <w:rsid w:val="00DF045E"/>
    <w:rsid w:val="00DF33AE"/>
    <w:rsid w:val="00DF3E2F"/>
    <w:rsid w:val="00E00BAC"/>
    <w:rsid w:val="00E0457F"/>
    <w:rsid w:val="00E0741A"/>
    <w:rsid w:val="00E07EE8"/>
    <w:rsid w:val="00E1020E"/>
    <w:rsid w:val="00E10581"/>
    <w:rsid w:val="00E10896"/>
    <w:rsid w:val="00E13895"/>
    <w:rsid w:val="00E17DF2"/>
    <w:rsid w:val="00E20408"/>
    <w:rsid w:val="00E254BB"/>
    <w:rsid w:val="00E41DEB"/>
    <w:rsid w:val="00E464AF"/>
    <w:rsid w:val="00E50C71"/>
    <w:rsid w:val="00E511E5"/>
    <w:rsid w:val="00E54C7A"/>
    <w:rsid w:val="00E57DB1"/>
    <w:rsid w:val="00E6331C"/>
    <w:rsid w:val="00E64863"/>
    <w:rsid w:val="00E65F78"/>
    <w:rsid w:val="00E717D2"/>
    <w:rsid w:val="00E740CA"/>
    <w:rsid w:val="00E8762E"/>
    <w:rsid w:val="00E93C99"/>
    <w:rsid w:val="00E93D8A"/>
    <w:rsid w:val="00E95A1D"/>
    <w:rsid w:val="00EA0BCC"/>
    <w:rsid w:val="00EA203E"/>
    <w:rsid w:val="00EA2B0D"/>
    <w:rsid w:val="00EB2351"/>
    <w:rsid w:val="00EC1DBF"/>
    <w:rsid w:val="00EE1063"/>
    <w:rsid w:val="00EE41CB"/>
    <w:rsid w:val="00EE4997"/>
    <w:rsid w:val="00EF3111"/>
    <w:rsid w:val="00EF52C4"/>
    <w:rsid w:val="00EF6520"/>
    <w:rsid w:val="00EF7478"/>
    <w:rsid w:val="00EF7EEF"/>
    <w:rsid w:val="00F0158A"/>
    <w:rsid w:val="00F01FA4"/>
    <w:rsid w:val="00F02915"/>
    <w:rsid w:val="00F03C09"/>
    <w:rsid w:val="00F03EA2"/>
    <w:rsid w:val="00F04819"/>
    <w:rsid w:val="00F06B1E"/>
    <w:rsid w:val="00F0732D"/>
    <w:rsid w:val="00F1037A"/>
    <w:rsid w:val="00F201AC"/>
    <w:rsid w:val="00F2344C"/>
    <w:rsid w:val="00F23B3F"/>
    <w:rsid w:val="00F254C7"/>
    <w:rsid w:val="00F27BA2"/>
    <w:rsid w:val="00F314E9"/>
    <w:rsid w:val="00F35518"/>
    <w:rsid w:val="00F4034C"/>
    <w:rsid w:val="00F56422"/>
    <w:rsid w:val="00F62961"/>
    <w:rsid w:val="00F656B4"/>
    <w:rsid w:val="00F66F7F"/>
    <w:rsid w:val="00F702E7"/>
    <w:rsid w:val="00F70F7F"/>
    <w:rsid w:val="00F71BC2"/>
    <w:rsid w:val="00F7712F"/>
    <w:rsid w:val="00F82175"/>
    <w:rsid w:val="00F83FAA"/>
    <w:rsid w:val="00F87B2B"/>
    <w:rsid w:val="00F925BA"/>
    <w:rsid w:val="00F935D3"/>
    <w:rsid w:val="00FA79BE"/>
    <w:rsid w:val="00FB19BA"/>
    <w:rsid w:val="00FB53AE"/>
    <w:rsid w:val="00FB5BAE"/>
    <w:rsid w:val="00FB7A3E"/>
    <w:rsid w:val="00FC3727"/>
    <w:rsid w:val="00FC463A"/>
    <w:rsid w:val="00FC6688"/>
    <w:rsid w:val="00FC713D"/>
    <w:rsid w:val="00FD27E0"/>
    <w:rsid w:val="00FD69BD"/>
    <w:rsid w:val="00FE00C0"/>
    <w:rsid w:val="00FE08DD"/>
    <w:rsid w:val="00FE2574"/>
    <w:rsid w:val="00FE2FEE"/>
    <w:rsid w:val="00FE5636"/>
    <w:rsid w:val="00FF0F4E"/>
    <w:rsid w:val="00FF34CA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"/>
    <w:basedOn w:val="Normal"/>
    <w:link w:val="ListParagraphChar"/>
    <w:uiPriority w:val="34"/>
    <w:qFormat/>
    <w:rsid w:val="0027669F"/>
    <w:pPr>
      <w:ind w:left="720"/>
      <w:contextualSpacing/>
    </w:pPr>
  </w:style>
  <w:style w:type="table" w:styleId="TableGrid">
    <w:name w:val="Table Grid"/>
    <w:basedOn w:val="TableNormal"/>
    <w:uiPriority w:val="59"/>
    <w:rsid w:val="0027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basedOn w:val="DefaultParagraphFont"/>
    <w:link w:val="ListParagraph"/>
    <w:uiPriority w:val="34"/>
    <w:qFormat/>
    <w:locked/>
    <w:rsid w:val="008D5E2F"/>
  </w:style>
  <w:style w:type="character" w:styleId="CommentReference">
    <w:name w:val="annotation reference"/>
    <w:basedOn w:val="DefaultParagraphFont"/>
    <w:uiPriority w:val="99"/>
    <w:semiHidden/>
    <w:unhideWhenUsed/>
    <w:rsid w:val="004C5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3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3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3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2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8BF"/>
  </w:style>
  <w:style w:type="paragraph" w:styleId="Footer">
    <w:name w:val="footer"/>
    <w:basedOn w:val="Normal"/>
    <w:link w:val="FooterChar"/>
    <w:uiPriority w:val="99"/>
    <w:unhideWhenUsed/>
    <w:rsid w:val="00402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8BF"/>
  </w:style>
  <w:style w:type="paragraph" w:styleId="Revision">
    <w:name w:val="Revision"/>
    <w:hidden/>
    <w:uiPriority w:val="99"/>
    <w:semiHidden/>
    <w:rsid w:val="006A4A36"/>
    <w:pPr>
      <w:spacing w:after="0" w:line="240" w:lineRule="auto"/>
    </w:pPr>
  </w:style>
  <w:style w:type="paragraph" w:customStyle="1" w:styleId="Default">
    <w:name w:val="Default"/>
    <w:rsid w:val="00DC7E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E"/>
    </w:rPr>
  </w:style>
  <w:style w:type="paragraph" w:styleId="NoSpacing">
    <w:name w:val="No Spacing"/>
    <w:link w:val="NoSpacingChar"/>
    <w:uiPriority w:val="1"/>
    <w:qFormat/>
    <w:rsid w:val="00C514B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514B8"/>
  </w:style>
  <w:style w:type="character" w:styleId="Hyperlink">
    <w:name w:val="Hyperlink"/>
    <w:basedOn w:val="DefaultParagraphFont"/>
    <w:uiPriority w:val="99"/>
    <w:unhideWhenUsed/>
    <w:rsid w:val="00AD29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29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niauditoffic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94B71-2354-4606-9C7E-FF07C26D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2020-07-22T13:35:00Z</dcterms:created>
  <dcterms:modified xsi:type="dcterms:W3CDTF">2020-07-22T13:35:00Z</dcterms:modified>
</cp:coreProperties>
</file>