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C" w:rsidRPr="00F8596D" w:rsidRDefault="00FD1C58" w:rsidP="001A7FE4">
      <w:pPr>
        <w:rPr>
          <w:rFonts w:cstheme="minorHAnsi"/>
          <w:b/>
          <w:color w:val="000000" w:themeColor="text1"/>
        </w:rPr>
      </w:pPr>
      <w:bookmarkStart w:id="0" w:name="_GoBack"/>
      <w:bookmarkEnd w:id="0"/>
      <w:r w:rsidRPr="00F8596D">
        <w:rPr>
          <w:rFonts w:cstheme="minorHAnsi"/>
          <w:b/>
          <w:color w:val="000000" w:themeColor="text1"/>
        </w:rPr>
        <w:t>Minutes of Senior Ma</w:t>
      </w:r>
      <w:r w:rsidR="00C42B57" w:rsidRPr="00F8596D">
        <w:rPr>
          <w:rFonts w:cstheme="minorHAnsi"/>
          <w:b/>
          <w:color w:val="000000" w:themeColor="text1"/>
        </w:rPr>
        <w:t xml:space="preserve">nagement </w:t>
      </w:r>
      <w:r w:rsidR="008503FD" w:rsidRPr="00F8596D">
        <w:rPr>
          <w:rFonts w:cstheme="minorHAnsi"/>
          <w:b/>
          <w:color w:val="000000" w:themeColor="text1"/>
        </w:rPr>
        <w:t>Team</w:t>
      </w:r>
      <w:r w:rsidR="00CB321C" w:rsidRPr="00F8596D">
        <w:rPr>
          <w:rFonts w:cstheme="minorHAnsi"/>
          <w:b/>
          <w:color w:val="000000" w:themeColor="text1"/>
        </w:rPr>
        <w:t xml:space="preserve"> (SMT)</w:t>
      </w:r>
      <w:r w:rsidR="008503FD" w:rsidRPr="00F8596D">
        <w:rPr>
          <w:rFonts w:cstheme="minorHAnsi"/>
          <w:b/>
          <w:color w:val="000000" w:themeColor="text1"/>
        </w:rPr>
        <w:t xml:space="preserve"> Meeting held on</w:t>
      </w:r>
      <w:r w:rsidR="000A0CEE" w:rsidRPr="00F8596D">
        <w:rPr>
          <w:rFonts w:cstheme="minorHAnsi"/>
          <w:b/>
          <w:color w:val="000000" w:themeColor="text1"/>
        </w:rPr>
        <w:t xml:space="preserve"> </w:t>
      </w:r>
      <w:r w:rsidR="00006B3D">
        <w:rPr>
          <w:rFonts w:cstheme="minorHAnsi"/>
          <w:b/>
          <w:color w:val="000000" w:themeColor="text1"/>
        </w:rPr>
        <w:t>1</w:t>
      </w:r>
      <w:r w:rsidR="00F23A8B">
        <w:rPr>
          <w:rFonts w:cstheme="minorHAnsi"/>
          <w:b/>
          <w:color w:val="000000" w:themeColor="text1"/>
        </w:rPr>
        <w:t>6 March</w:t>
      </w:r>
      <w:r w:rsidR="00006B3D">
        <w:rPr>
          <w:rFonts w:cstheme="minorHAnsi"/>
          <w:b/>
          <w:color w:val="000000" w:themeColor="text1"/>
        </w:rPr>
        <w:t xml:space="preserve"> 2021</w:t>
      </w:r>
      <w:r w:rsidR="00800A0F">
        <w:rPr>
          <w:rFonts w:cstheme="minorHAnsi"/>
          <w:b/>
          <w:color w:val="000000" w:themeColor="text1"/>
        </w:rPr>
        <w:t xml:space="preserve"> @ 10am</w:t>
      </w:r>
    </w:p>
    <w:p w:rsidR="008F3705" w:rsidRPr="00F8596D" w:rsidRDefault="00FD1C58" w:rsidP="00C45BA0">
      <w:pPr>
        <w:spacing w:after="0" w:line="240" w:lineRule="auto"/>
        <w:rPr>
          <w:rFonts w:cstheme="minorHAnsi"/>
          <w:color w:val="000000" w:themeColor="text1"/>
        </w:rPr>
      </w:pPr>
      <w:r w:rsidRPr="00F8596D">
        <w:rPr>
          <w:rFonts w:cstheme="minorHAnsi"/>
          <w:b/>
          <w:color w:val="000000" w:themeColor="text1"/>
        </w:rPr>
        <w:t>In attendance:</w:t>
      </w:r>
      <w:r w:rsidRPr="00F8596D">
        <w:rPr>
          <w:rFonts w:cstheme="minorHAnsi"/>
          <w:color w:val="000000" w:themeColor="text1"/>
        </w:rPr>
        <w:tab/>
      </w:r>
      <w:r w:rsidR="008F3705" w:rsidRPr="00F8596D">
        <w:rPr>
          <w:rFonts w:cstheme="minorHAnsi"/>
          <w:color w:val="000000" w:themeColor="text1"/>
        </w:rPr>
        <w:t>K</w:t>
      </w:r>
      <w:r w:rsidR="006001F6" w:rsidRPr="00F8596D">
        <w:rPr>
          <w:rFonts w:cstheme="minorHAnsi"/>
          <w:color w:val="000000" w:themeColor="text1"/>
        </w:rPr>
        <w:t>ieran</w:t>
      </w:r>
      <w:r w:rsidR="008F3705" w:rsidRPr="00F8596D">
        <w:rPr>
          <w:rFonts w:cstheme="minorHAnsi"/>
          <w:color w:val="000000" w:themeColor="text1"/>
        </w:rPr>
        <w:t xml:space="preserve"> Donnelly, Chair (C&amp;AG)</w:t>
      </w:r>
    </w:p>
    <w:p w:rsidR="00EC1F4C" w:rsidRPr="00F8596D" w:rsidRDefault="00F23A8B" w:rsidP="00C45BA0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Rodney Allen (COO</w:t>
      </w:r>
      <w:r w:rsidR="00EC1F4C" w:rsidRPr="00F8596D">
        <w:rPr>
          <w:rFonts w:cstheme="minorHAnsi"/>
          <w:color w:val="000000" w:themeColor="text1"/>
        </w:rPr>
        <w:t>)</w:t>
      </w:r>
    </w:p>
    <w:p w:rsidR="00F12054" w:rsidRDefault="00F12054" w:rsidP="00A90DB6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Patrick Barr (Director)</w:t>
      </w:r>
    </w:p>
    <w:p w:rsidR="00522793" w:rsidRPr="00F8596D" w:rsidRDefault="00522793" w:rsidP="00A90DB6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Neil Gray (Director)</w:t>
      </w:r>
    </w:p>
    <w:p w:rsidR="00FD25E8" w:rsidRDefault="005E42DF" w:rsidP="000A0CEE">
      <w:pPr>
        <w:spacing w:after="0" w:line="240" w:lineRule="auto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ab/>
      </w:r>
      <w:r w:rsidRPr="00F8596D">
        <w:rPr>
          <w:rFonts w:cstheme="minorHAnsi"/>
          <w:color w:val="000000" w:themeColor="text1"/>
        </w:rPr>
        <w:tab/>
        <w:t>C</w:t>
      </w:r>
      <w:r w:rsidR="006001F6" w:rsidRPr="00F8596D">
        <w:rPr>
          <w:rFonts w:cstheme="minorHAnsi"/>
          <w:color w:val="000000" w:themeColor="text1"/>
        </w:rPr>
        <w:t>olette</w:t>
      </w:r>
      <w:r w:rsidRPr="00F8596D">
        <w:rPr>
          <w:rFonts w:cstheme="minorHAnsi"/>
          <w:color w:val="000000" w:themeColor="text1"/>
        </w:rPr>
        <w:t xml:space="preserve"> Kane (Director)</w:t>
      </w:r>
      <w:r w:rsidR="00C526D8" w:rsidRPr="00F8596D">
        <w:rPr>
          <w:rFonts w:cstheme="minorHAnsi"/>
          <w:color w:val="000000" w:themeColor="text1"/>
        </w:rPr>
        <w:t xml:space="preserve"> </w:t>
      </w:r>
    </w:p>
    <w:p w:rsidR="00A425F1" w:rsidRDefault="00EC1F4C" w:rsidP="00F23A8B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F8596D">
        <w:rPr>
          <w:rFonts w:cstheme="minorHAnsi"/>
          <w:color w:val="000000" w:themeColor="text1"/>
        </w:rPr>
        <w:t>Suzanne Walsh (Director)</w:t>
      </w:r>
    </w:p>
    <w:p w:rsidR="00AC3DFC" w:rsidRDefault="001A7FE4" w:rsidP="00C45BA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F23A8B">
        <w:rPr>
          <w:rFonts w:cstheme="minorHAnsi"/>
          <w:color w:val="000000" w:themeColor="text1"/>
        </w:rPr>
        <w:t>Louise Donnelly</w:t>
      </w:r>
      <w:r w:rsidR="00450749" w:rsidRPr="00F8596D">
        <w:rPr>
          <w:rFonts w:cstheme="minorHAnsi"/>
          <w:color w:val="000000" w:themeColor="text1"/>
        </w:rPr>
        <w:t xml:space="preserve"> (Secretary)</w:t>
      </w:r>
      <w:r>
        <w:rPr>
          <w:rFonts w:cstheme="minorHAnsi"/>
          <w:color w:val="000000" w:themeColor="text1"/>
        </w:rPr>
        <w:tab/>
      </w:r>
    </w:p>
    <w:p w:rsidR="00AC3DFC" w:rsidRDefault="00AC3DFC" w:rsidP="00C45BA0">
      <w:pPr>
        <w:spacing w:after="0" w:line="240" w:lineRule="auto"/>
        <w:rPr>
          <w:rFonts w:cstheme="minorHAnsi"/>
          <w:color w:val="000000" w:themeColor="text1"/>
        </w:rPr>
      </w:pPr>
      <w:r w:rsidRPr="005D5FA1">
        <w:rPr>
          <w:rFonts w:cstheme="minorHAnsi"/>
          <w:b/>
          <w:color w:val="000000" w:themeColor="text1"/>
        </w:rPr>
        <w:t>Apologies:</w:t>
      </w:r>
      <w:r w:rsidRPr="005D5FA1">
        <w:rPr>
          <w:rFonts w:cstheme="minorHAnsi"/>
          <w:color w:val="000000" w:themeColor="text1"/>
        </w:rPr>
        <w:tab/>
        <w:t>Tomas Wilkinson</w:t>
      </w:r>
    </w:p>
    <w:p w:rsidR="00DE6216" w:rsidRPr="00F8596D" w:rsidRDefault="00800A0F" w:rsidP="00C45BA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8426"/>
      </w:tblGrid>
      <w:tr w:rsidR="00A2709B" w:rsidRPr="00F8596D" w:rsidTr="007377B0">
        <w:tc>
          <w:tcPr>
            <w:tcW w:w="590" w:type="dxa"/>
          </w:tcPr>
          <w:p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426" w:type="dxa"/>
          </w:tcPr>
          <w:p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Apologies</w:t>
            </w:r>
          </w:p>
          <w:p w:rsidR="00A2709B" w:rsidRPr="00F8596D" w:rsidRDefault="00A425F1" w:rsidP="008359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Apo</w:t>
            </w:r>
            <w:r w:rsidR="003901BD">
              <w:rPr>
                <w:rFonts w:cstheme="minorHAnsi"/>
                <w:color w:val="000000" w:themeColor="text1"/>
              </w:rPr>
              <w:t>logies from Tomas Wilkinson were noted</w:t>
            </w:r>
          </w:p>
          <w:p w:rsidR="0083594A" w:rsidRPr="00F8596D" w:rsidRDefault="0083594A" w:rsidP="0083594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A2709B" w:rsidRPr="00F8596D" w:rsidTr="007377B0">
        <w:tc>
          <w:tcPr>
            <w:tcW w:w="590" w:type="dxa"/>
          </w:tcPr>
          <w:p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426" w:type="dxa"/>
          </w:tcPr>
          <w:p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Declaration of Conflicts of Interest</w:t>
            </w:r>
          </w:p>
          <w:p w:rsidR="00A2709B" w:rsidRPr="00F8596D" w:rsidRDefault="00A2709B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There were no issues declared by members.</w:t>
            </w:r>
          </w:p>
          <w:p w:rsidR="00A2709B" w:rsidRPr="00F8596D" w:rsidRDefault="00A2709B" w:rsidP="00C45BA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854098" w:rsidRPr="00F8596D" w:rsidTr="007377B0">
        <w:tc>
          <w:tcPr>
            <w:tcW w:w="590" w:type="dxa"/>
          </w:tcPr>
          <w:p w:rsidR="00FD1C58" w:rsidRPr="00F8596D" w:rsidRDefault="00A2709B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3</w:t>
            </w:r>
            <w:r w:rsidR="009530CF" w:rsidRPr="00F8596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:rsidR="00FD1C58" w:rsidRPr="00F8596D" w:rsidRDefault="00FD1C58" w:rsidP="00C45BA0">
            <w:pPr>
              <w:rPr>
                <w:rFonts w:cstheme="minorHAnsi"/>
                <w:b/>
                <w:color w:val="000000" w:themeColor="text1"/>
              </w:rPr>
            </w:pPr>
            <w:r w:rsidRPr="00F8596D">
              <w:rPr>
                <w:rFonts w:cstheme="minorHAnsi"/>
                <w:b/>
                <w:color w:val="000000" w:themeColor="text1"/>
              </w:rPr>
              <w:t>Minutes of Previous meeting and Matters Arising</w:t>
            </w:r>
          </w:p>
          <w:p w:rsidR="000E0F87" w:rsidRPr="00F8596D" w:rsidRDefault="00FD1C58" w:rsidP="00C45BA0">
            <w:pPr>
              <w:rPr>
                <w:rFonts w:cstheme="minorHAnsi"/>
                <w:color w:val="000000" w:themeColor="text1"/>
              </w:rPr>
            </w:pPr>
            <w:r w:rsidRPr="00F8596D">
              <w:rPr>
                <w:rFonts w:cstheme="minorHAnsi"/>
                <w:color w:val="000000" w:themeColor="text1"/>
              </w:rPr>
              <w:t>Minutes of the prev</w:t>
            </w:r>
            <w:r w:rsidR="005E42DF" w:rsidRPr="00F8596D">
              <w:rPr>
                <w:rFonts w:cstheme="minorHAnsi"/>
                <w:color w:val="000000" w:themeColor="text1"/>
              </w:rPr>
              <w:t xml:space="preserve">ious meeting held on </w:t>
            </w:r>
            <w:r w:rsidR="00F23A8B">
              <w:rPr>
                <w:rFonts w:cstheme="minorHAnsi"/>
                <w:color w:val="000000" w:themeColor="text1"/>
              </w:rPr>
              <w:t>16 February</w:t>
            </w:r>
            <w:r w:rsidR="003901BD">
              <w:rPr>
                <w:rFonts w:cstheme="minorHAnsi"/>
                <w:color w:val="000000" w:themeColor="text1"/>
              </w:rPr>
              <w:t xml:space="preserve"> 2021</w:t>
            </w:r>
            <w:r w:rsidR="00635C39" w:rsidRPr="00F8596D">
              <w:rPr>
                <w:rFonts w:cstheme="minorHAnsi"/>
                <w:color w:val="000000" w:themeColor="text1"/>
              </w:rPr>
              <w:t xml:space="preserve"> </w:t>
            </w:r>
            <w:r w:rsidRPr="00F8596D">
              <w:rPr>
                <w:rFonts w:cstheme="minorHAnsi"/>
                <w:color w:val="000000" w:themeColor="text1"/>
              </w:rPr>
              <w:t>were agreed</w:t>
            </w:r>
            <w:r w:rsidR="00800A0F">
              <w:rPr>
                <w:rFonts w:cstheme="minorHAnsi"/>
                <w:color w:val="000000" w:themeColor="text1"/>
              </w:rPr>
              <w:t xml:space="preserve"> </w:t>
            </w:r>
            <w:r w:rsidRPr="00F8596D">
              <w:rPr>
                <w:rFonts w:cstheme="minorHAnsi"/>
                <w:color w:val="000000" w:themeColor="text1"/>
              </w:rPr>
              <w:t xml:space="preserve">and </w:t>
            </w:r>
            <w:r w:rsidR="003D13B3">
              <w:rPr>
                <w:rFonts w:cstheme="minorHAnsi"/>
                <w:color w:val="000000" w:themeColor="text1"/>
              </w:rPr>
              <w:t xml:space="preserve">the </w:t>
            </w:r>
            <w:r w:rsidR="001D32DD" w:rsidRPr="00F8596D">
              <w:rPr>
                <w:rFonts w:cstheme="minorHAnsi"/>
                <w:color w:val="000000" w:themeColor="text1"/>
              </w:rPr>
              <w:t>m</w:t>
            </w:r>
            <w:r w:rsidRPr="00F8596D">
              <w:rPr>
                <w:rFonts w:cstheme="minorHAnsi"/>
                <w:color w:val="000000" w:themeColor="text1"/>
              </w:rPr>
              <w:t>atters arising updated.</w:t>
            </w:r>
            <w:r w:rsidR="00FC40E6" w:rsidRPr="00F8596D">
              <w:rPr>
                <w:rFonts w:cstheme="minorHAnsi"/>
                <w:color w:val="000000" w:themeColor="text1"/>
              </w:rPr>
              <w:t xml:space="preserve">  </w:t>
            </w:r>
            <w:r w:rsidR="00F23A8B">
              <w:rPr>
                <w:rFonts w:cstheme="minorHAnsi"/>
                <w:color w:val="000000" w:themeColor="text1"/>
              </w:rPr>
              <w:t>The C&amp;AG and members recorded their congratulations to Rodney Allen on his successful appointment to the post of Chief Operating Officer.</w:t>
            </w:r>
          </w:p>
          <w:p w:rsidR="003325A1" w:rsidRPr="00F8596D" w:rsidRDefault="003325A1" w:rsidP="00C45BA0">
            <w:pPr>
              <w:rPr>
                <w:rFonts w:cstheme="minorHAnsi"/>
                <w:color w:val="000000" w:themeColor="text1"/>
              </w:rPr>
            </w:pPr>
          </w:p>
        </w:tc>
      </w:tr>
      <w:tr w:rsidR="000A0CEE" w:rsidRPr="00F8596D" w:rsidTr="007377B0">
        <w:tc>
          <w:tcPr>
            <w:tcW w:w="590" w:type="dxa"/>
          </w:tcPr>
          <w:p w:rsidR="000A0CEE" w:rsidRPr="00F8596D" w:rsidRDefault="00522793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0A0CEE"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:rsidR="00522793" w:rsidRPr="00F8596D" w:rsidRDefault="001E70D3" w:rsidP="001E70D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8596D">
              <w:rPr>
                <w:rFonts w:cstheme="minorHAnsi"/>
                <w:b/>
                <w:bCs/>
                <w:color w:val="000000" w:themeColor="text1"/>
              </w:rPr>
              <w:t>Risk Management</w:t>
            </w:r>
          </w:p>
          <w:p w:rsidR="00694AED" w:rsidRPr="00F8596D" w:rsidRDefault="006C59DD" w:rsidP="001E70D3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COVID</w:t>
            </w:r>
            <w:r w:rsidR="001E70D3" w:rsidRPr="00F8596D">
              <w:rPr>
                <w:rFonts w:cstheme="minorHAnsi"/>
                <w:b/>
                <w:bCs/>
                <w:color w:val="000000" w:themeColor="text1"/>
              </w:rPr>
              <w:t xml:space="preserve"> 19</w:t>
            </w:r>
            <w:r w:rsidR="00BF4984">
              <w:rPr>
                <w:rFonts w:cstheme="minorHAnsi"/>
                <w:b/>
                <w:bCs/>
                <w:color w:val="000000" w:themeColor="text1"/>
              </w:rPr>
              <w:t xml:space="preserve"> Risk Register</w:t>
            </w:r>
          </w:p>
          <w:p w:rsidR="001A2E05" w:rsidRPr="00700ED1" w:rsidRDefault="00AC3DFC" w:rsidP="00BF6795">
            <w:pPr>
              <w:rPr>
                <w:rFonts w:cstheme="minorHAnsi"/>
                <w:color w:val="000000" w:themeColor="text1"/>
              </w:rPr>
            </w:pPr>
            <w:r w:rsidRPr="006E2714">
              <w:rPr>
                <w:rFonts w:cstheme="minorHAnsi"/>
                <w:color w:val="000000" w:themeColor="text1"/>
              </w:rPr>
              <w:t>Colette Kane advised the Risk Register had been updated to reflect comments made at the</w:t>
            </w:r>
            <w:r w:rsidR="00700ED1">
              <w:rPr>
                <w:rFonts w:cstheme="minorHAnsi"/>
                <w:color w:val="000000" w:themeColor="text1"/>
              </w:rPr>
              <w:t xml:space="preserve"> previous SMT meeting held on 17 February 2021, all changes were highlighted in red for members’ convenience, the Register will now be placed on NIAOmi for all staff to access.</w:t>
            </w:r>
          </w:p>
          <w:p w:rsidR="0012417C" w:rsidRPr="00587D9F" w:rsidRDefault="0012417C" w:rsidP="0012417C">
            <w:pPr>
              <w:rPr>
                <w:color w:val="000000" w:themeColor="text1"/>
              </w:rPr>
            </w:pPr>
          </w:p>
        </w:tc>
      </w:tr>
      <w:tr w:rsidR="005272D3" w:rsidRPr="00F8596D" w:rsidTr="00A114AA">
        <w:tc>
          <w:tcPr>
            <w:tcW w:w="590" w:type="dxa"/>
            <w:tcBorders>
              <w:bottom w:val="single" w:sz="4" w:space="0" w:color="auto"/>
            </w:tcBorders>
          </w:tcPr>
          <w:p w:rsidR="005272D3" w:rsidRPr="00F8596D" w:rsidRDefault="009C1516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5272D3" w:rsidRPr="00F8596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:rsidR="005071E4" w:rsidRDefault="000B7BDC" w:rsidP="00893B93">
            <w:pPr>
              <w:tabs>
                <w:tab w:val="left" w:pos="196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Finance Report</w:t>
            </w:r>
          </w:p>
          <w:p w:rsidR="000B7BDC" w:rsidRPr="006E2714" w:rsidRDefault="00DF2FB3" w:rsidP="00893B93">
            <w:pPr>
              <w:tabs>
                <w:tab w:val="left" w:pos="1960"/>
              </w:tabs>
            </w:pPr>
            <w:r w:rsidRPr="006E2714">
              <w:t>Rodney</w:t>
            </w:r>
            <w:r w:rsidR="00E87A2E" w:rsidRPr="006E2714">
              <w:t xml:space="preserve"> Allen</w:t>
            </w:r>
            <w:r w:rsidRPr="006E2714">
              <w:t xml:space="preserve"> provided an update on the following </w:t>
            </w:r>
            <w:r w:rsidR="00E87A2E" w:rsidRPr="006E2714">
              <w:t>key</w:t>
            </w:r>
            <w:r w:rsidRPr="006E2714">
              <w:t xml:space="preserve"> areas:</w:t>
            </w:r>
          </w:p>
          <w:p w:rsidR="008818BC" w:rsidRPr="006E2714" w:rsidRDefault="008818BC" w:rsidP="00893B93">
            <w:pPr>
              <w:pStyle w:val="ListParagraph"/>
              <w:numPr>
                <w:ilvl w:val="0"/>
                <w:numId w:val="2"/>
              </w:numPr>
              <w:tabs>
                <w:tab w:val="left" w:pos="1960"/>
              </w:tabs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2020-21 Forecast</w:t>
            </w:r>
          </w:p>
          <w:p w:rsidR="008818BC" w:rsidRPr="006E2714" w:rsidRDefault="008818BC" w:rsidP="00893B93">
            <w:pPr>
              <w:tabs>
                <w:tab w:val="left" w:pos="1960"/>
              </w:tabs>
              <w:ind w:left="715"/>
              <w:rPr>
                <w:rFonts w:cstheme="minorHAnsi"/>
              </w:rPr>
            </w:pPr>
            <w:r w:rsidRPr="006E2714">
              <w:rPr>
                <w:rFonts w:cstheme="minorHAnsi"/>
              </w:rPr>
              <w:t xml:space="preserve">Members were asked to note the current budget position.  </w:t>
            </w:r>
          </w:p>
          <w:p w:rsidR="00E00D1D" w:rsidRPr="005C311D" w:rsidRDefault="008818BC" w:rsidP="00893B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C311D">
              <w:rPr>
                <w:b/>
              </w:rPr>
              <w:t>Accommodation Project</w:t>
            </w:r>
            <w:r w:rsidRPr="006E2714">
              <w:br/>
            </w:r>
            <w:r w:rsidR="00E00D1D">
              <w:t xml:space="preserve">The lease for Bradford Court has now been signed.  The Decant Delivery Group has been engaging with staff, setting out the timeline for the move.  A staff guide on all aspects of preparation for the decant </w:t>
            </w:r>
            <w:r w:rsidR="005C311D">
              <w:t>w</w:t>
            </w:r>
            <w:r w:rsidR="00E00D1D">
              <w:t xml:space="preserve">as </w:t>
            </w:r>
            <w:r w:rsidR="005C311D">
              <w:t xml:space="preserve">presented </w:t>
            </w:r>
            <w:r w:rsidR="00893B93">
              <w:t xml:space="preserve">to SMT </w:t>
            </w:r>
            <w:r w:rsidR="005C311D">
              <w:t>for approval</w:t>
            </w:r>
            <w:r w:rsidR="00893B93">
              <w:t>.  A</w:t>
            </w:r>
            <w:r w:rsidR="00E00D1D">
              <w:t xml:space="preserve">fter discussion </w:t>
            </w:r>
            <w:r w:rsidR="005C311D">
              <w:t>members</w:t>
            </w:r>
            <w:r w:rsidR="00E00D1D">
              <w:t xml:space="preserve"> approved the guide for issuing.</w:t>
            </w:r>
            <w:r w:rsidR="005C311D">
              <w:t xml:space="preserve">  Further information</w:t>
            </w:r>
            <w:r w:rsidR="005C311D" w:rsidRPr="005C311D">
              <w:t xml:space="preserve"> will be issued </w:t>
            </w:r>
            <w:r w:rsidR="005C311D">
              <w:t>to staff in the coming weeks</w:t>
            </w:r>
            <w:r w:rsidR="005C311D" w:rsidRPr="005C311D">
              <w:t xml:space="preserve"> regarding the new arrangements for working at Bradford Court</w:t>
            </w:r>
            <w:r w:rsidR="005C311D" w:rsidRPr="005C311D">
              <w:rPr>
                <w:sz w:val="24"/>
                <w:szCs w:val="24"/>
              </w:rPr>
              <w:t>.</w:t>
            </w:r>
          </w:p>
          <w:p w:rsidR="00965CD1" w:rsidRPr="000B7BDC" w:rsidRDefault="00965CD1" w:rsidP="00893B93"/>
        </w:tc>
      </w:tr>
      <w:tr w:rsidR="00FE0C46" w:rsidRPr="00F8596D" w:rsidTr="00A114AA">
        <w:tc>
          <w:tcPr>
            <w:tcW w:w="590" w:type="dxa"/>
            <w:tcBorders>
              <w:bottom w:val="single" w:sz="4" w:space="0" w:color="auto"/>
            </w:tcBorders>
          </w:tcPr>
          <w:p w:rsidR="00FE0C46" w:rsidRPr="006E2714" w:rsidRDefault="005C311D" w:rsidP="00C45BA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FE0C46" w:rsidRPr="006E2714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  <w:tcBorders>
              <w:bottom w:val="single" w:sz="4" w:space="0" w:color="auto"/>
            </w:tcBorders>
          </w:tcPr>
          <w:p w:rsidR="00C36973" w:rsidRPr="006E2714" w:rsidRDefault="007A0A61" w:rsidP="00893B93">
            <w:pPr>
              <w:ind w:left="6"/>
              <w:jc w:val="both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Corporate Report</w:t>
            </w:r>
          </w:p>
          <w:p w:rsidR="006D47A3" w:rsidRPr="006E2714" w:rsidRDefault="006D47A3" w:rsidP="00893B93">
            <w:pPr>
              <w:ind w:left="6"/>
              <w:rPr>
                <w:rFonts w:cstheme="minorHAnsi"/>
                <w:b/>
              </w:rPr>
            </w:pPr>
            <w:r w:rsidRPr="006E2714">
              <w:rPr>
                <w:rFonts w:cstheme="minorHAnsi"/>
              </w:rPr>
              <w:t>Rodney Allen provided an update on the following key areas:</w:t>
            </w:r>
            <w:r w:rsidR="009329B0" w:rsidRPr="006E2714">
              <w:rPr>
                <w:rFonts w:cstheme="minorHAnsi"/>
                <w:b/>
              </w:rPr>
              <w:br/>
              <w:t>HR</w:t>
            </w:r>
          </w:p>
          <w:p w:rsidR="006D47A3" w:rsidRPr="006E2714" w:rsidRDefault="009771FD" w:rsidP="00893B93">
            <w:pPr>
              <w:pStyle w:val="ListParagraph"/>
              <w:numPr>
                <w:ilvl w:val="0"/>
                <w:numId w:val="3"/>
              </w:numPr>
              <w:ind w:left="431"/>
              <w:jc w:val="both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Recruitment</w:t>
            </w:r>
          </w:p>
          <w:p w:rsidR="009771FD" w:rsidRDefault="005C311D" w:rsidP="00893B93">
            <w:pPr>
              <w:pStyle w:val="ListParagraph"/>
              <w:numPr>
                <w:ilvl w:val="0"/>
                <w:numId w:val="4"/>
              </w:numPr>
              <w:ind w:left="857"/>
              <w:rPr>
                <w:rFonts w:cstheme="minorHAnsi"/>
              </w:rPr>
            </w:pPr>
            <w:r>
              <w:rPr>
                <w:rFonts w:cstheme="minorHAnsi"/>
              </w:rPr>
              <w:t>Offers have been made to successful</w:t>
            </w:r>
            <w:r w:rsidRPr="005C311D">
              <w:rPr>
                <w:rFonts w:cstheme="minorHAnsi"/>
              </w:rPr>
              <w:t xml:space="preserve"> candidates in the Auditor recruitment exercise.</w:t>
            </w:r>
          </w:p>
          <w:p w:rsidR="005C311D" w:rsidRPr="005C311D" w:rsidRDefault="005C311D" w:rsidP="00893B93">
            <w:pPr>
              <w:pStyle w:val="ListParagraph"/>
              <w:numPr>
                <w:ilvl w:val="0"/>
                <w:numId w:val="4"/>
              </w:numPr>
              <w:ind w:left="857"/>
              <w:rPr>
                <w:rFonts w:cstheme="minorHAnsi"/>
              </w:rPr>
            </w:pPr>
            <w:r>
              <w:rPr>
                <w:rFonts w:cstheme="minorHAnsi"/>
              </w:rPr>
              <w:t>There were no expressions of interest on the recent secondment opportunity offered to staff.</w:t>
            </w:r>
          </w:p>
          <w:p w:rsidR="009771FD" w:rsidRPr="006E2714" w:rsidRDefault="009771FD" w:rsidP="00893B93">
            <w:pPr>
              <w:pStyle w:val="ListParagraph"/>
              <w:numPr>
                <w:ilvl w:val="0"/>
                <w:numId w:val="3"/>
              </w:numPr>
              <w:ind w:left="431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Attendance Management</w:t>
            </w:r>
          </w:p>
          <w:p w:rsidR="009771FD" w:rsidRPr="006E2714" w:rsidRDefault="003322EA" w:rsidP="00893B93">
            <w:pPr>
              <w:ind w:left="431"/>
              <w:rPr>
                <w:rFonts w:cstheme="minorHAnsi"/>
              </w:rPr>
            </w:pPr>
            <w:r w:rsidRPr="006E2714">
              <w:rPr>
                <w:rFonts w:cstheme="minorHAnsi"/>
                <w:color w:val="000000" w:themeColor="text1"/>
              </w:rPr>
              <w:lastRenderedPageBreak/>
              <w:t>Members noted absence</w:t>
            </w:r>
            <w:r w:rsidRPr="006E2714">
              <w:rPr>
                <w:rFonts w:cstheme="minorHAnsi"/>
              </w:rPr>
              <w:t xml:space="preserve"> figures per employee </w:t>
            </w:r>
            <w:r w:rsidR="005C311D">
              <w:rPr>
                <w:rFonts w:cstheme="minorHAnsi"/>
              </w:rPr>
              <w:t>in the rolling period 1 March 2020 to 28 February</w:t>
            </w:r>
            <w:r w:rsidRPr="006E2714">
              <w:rPr>
                <w:rFonts w:cstheme="minorHAnsi"/>
              </w:rPr>
              <w:t xml:space="preserve"> 2021.</w:t>
            </w:r>
          </w:p>
          <w:p w:rsidR="00A743DB" w:rsidRPr="006E2714" w:rsidRDefault="00A743DB" w:rsidP="00893B93">
            <w:pPr>
              <w:pStyle w:val="ListParagraph"/>
              <w:numPr>
                <w:ilvl w:val="0"/>
                <w:numId w:val="3"/>
              </w:numPr>
              <w:ind w:left="431"/>
              <w:jc w:val="both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Annual Leave uptake</w:t>
            </w:r>
          </w:p>
          <w:p w:rsidR="00F371EB" w:rsidRPr="00F371EB" w:rsidRDefault="00A743DB" w:rsidP="00893B93">
            <w:pPr>
              <w:pStyle w:val="ListParagraph"/>
              <w:ind w:left="431"/>
              <w:rPr>
                <w:rFonts w:cstheme="minorHAnsi"/>
              </w:rPr>
            </w:pPr>
            <w:r w:rsidRPr="006E2714">
              <w:rPr>
                <w:rFonts w:cstheme="minorHAnsi"/>
              </w:rPr>
              <w:t xml:space="preserve">Directors were asked to note the position with regard to </w:t>
            </w:r>
            <w:r w:rsidR="00D416AF" w:rsidRPr="006E2714">
              <w:rPr>
                <w:rFonts w:cstheme="minorHAnsi"/>
              </w:rPr>
              <w:t xml:space="preserve">staff </w:t>
            </w:r>
            <w:r w:rsidR="005C311D">
              <w:rPr>
                <w:rFonts w:cstheme="minorHAnsi"/>
              </w:rPr>
              <w:t>annual</w:t>
            </w:r>
            <w:r w:rsidRPr="006E2714">
              <w:rPr>
                <w:rFonts w:cstheme="minorHAnsi"/>
              </w:rPr>
              <w:t xml:space="preserve"> </w:t>
            </w:r>
            <w:r w:rsidR="00D416AF" w:rsidRPr="006E2714">
              <w:rPr>
                <w:rFonts w:cstheme="minorHAnsi"/>
              </w:rPr>
              <w:t xml:space="preserve">leave </w:t>
            </w:r>
            <w:r w:rsidRPr="006E2714">
              <w:rPr>
                <w:rFonts w:cstheme="minorHAnsi"/>
              </w:rPr>
              <w:t>balances</w:t>
            </w:r>
            <w:r w:rsidR="00D416AF" w:rsidRPr="006E2714">
              <w:rPr>
                <w:rFonts w:cstheme="minorHAnsi"/>
              </w:rPr>
              <w:t>.</w:t>
            </w:r>
            <w:r w:rsidRPr="006E2714">
              <w:rPr>
                <w:rFonts w:cstheme="minorHAnsi"/>
              </w:rPr>
              <w:t xml:space="preserve"> </w:t>
            </w:r>
          </w:p>
          <w:p w:rsidR="001758AA" w:rsidRPr="00F371EB" w:rsidRDefault="001758AA" w:rsidP="00893B93">
            <w:pPr>
              <w:jc w:val="both"/>
              <w:rPr>
                <w:rFonts w:cstheme="minorHAnsi"/>
              </w:rPr>
            </w:pPr>
          </w:p>
          <w:p w:rsidR="00A743DB" w:rsidRPr="006E2714" w:rsidRDefault="001758AA" w:rsidP="00893B93">
            <w:pPr>
              <w:pStyle w:val="ListParagraph"/>
              <w:ind w:left="6"/>
              <w:jc w:val="both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 xml:space="preserve">Business Support </w:t>
            </w:r>
          </w:p>
          <w:p w:rsidR="009771FD" w:rsidRPr="006E2714" w:rsidRDefault="001758AA" w:rsidP="00893B93">
            <w:pPr>
              <w:pStyle w:val="ListParagraph"/>
              <w:numPr>
                <w:ilvl w:val="0"/>
                <w:numId w:val="3"/>
              </w:numPr>
              <w:ind w:left="431"/>
              <w:jc w:val="both"/>
              <w:rPr>
                <w:rFonts w:cstheme="minorHAnsi"/>
                <w:b/>
              </w:rPr>
            </w:pPr>
            <w:r w:rsidRPr="006E2714">
              <w:rPr>
                <w:rFonts w:cstheme="minorHAnsi"/>
                <w:b/>
              </w:rPr>
              <w:t>Complaints</w:t>
            </w:r>
          </w:p>
          <w:p w:rsidR="001758AA" w:rsidRPr="006E2714" w:rsidRDefault="001758AA" w:rsidP="00893B93">
            <w:pPr>
              <w:pStyle w:val="ListParagraph"/>
              <w:ind w:left="431"/>
              <w:rPr>
                <w:rFonts w:cstheme="minorHAnsi"/>
              </w:rPr>
            </w:pPr>
            <w:r w:rsidRPr="006E2714">
              <w:rPr>
                <w:rFonts w:cstheme="minorHAnsi"/>
              </w:rPr>
              <w:t>Members were briefed on the status of cases</w:t>
            </w:r>
            <w:r w:rsidR="00421603" w:rsidRPr="006E2714">
              <w:rPr>
                <w:rFonts w:cstheme="minorHAnsi"/>
              </w:rPr>
              <w:t xml:space="preserve">. </w:t>
            </w:r>
            <w:r w:rsidR="00893B93">
              <w:rPr>
                <w:rFonts w:cstheme="minorHAnsi"/>
              </w:rPr>
              <w:t xml:space="preserve"> SMT was</w:t>
            </w:r>
            <w:r w:rsidR="0041748F" w:rsidRPr="006E2714">
              <w:rPr>
                <w:rFonts w:cstheme="minorHAnsi"/>
              </w:rPr>
              <w:t xml:space="preserve"> satisfied with progress to date</w:t>
            </w:r>
            <w:r w:rsidRPr="006E2714">
              <w:rPr>
                <w:rFonts w:cstheme="minorHAnsi"/>
              </w:rPr>
              <w:t>.</w:t>
            </w:r>
          </w:p>
          <w:p w:rsidR="0041748F" w:rsidRPr="006E2714" w:rsidRDefault="00F371EB" w:rsidP="00893B93">
            <w:pPr>
              <w:pStyle w:val="ListParagraph"/>
              <w:numPr>
                <w:ilvl w:val="0"/>
                <w:numId w:val="5"/>
              </w:numPr>
              <w:ind w:left="43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Governance</w:t>
            </w:r>
            <w:r>
              <w:rPr>
                <w:rFonts w:cstheme="minorHAnsi"/>
                <w:b/>
              </w:rPr>
              <w:br/>
            </w:r>
            <w:r>
              <w:rPr>
                <w:rFonts w:eastAsia="SymbolMT" w:cstheme="minorHAnsi"/>
              </w:rPr>
              <w:t>T</w:t>
            </w:r>
            <w:r w:rsidRPr="000E5EA5">
              <w:rPr>
                <w:rFonts w:eastAsia="SymbolMT" w:cstheme="minorHAnsi"/>
              </w:rPr>
              <w:t>he Remuneration Committee met on 9 March</w:t>
            </w:r>
            <w:r>
              <w:rPr>
                <w:rFonts w:eastAsia="SymbolMT" w:cstheme="minorHAnsi"/>
              </w:rPr>
              <w:t xml:space="preserve"> 2021 to discuss</w:t>
            </w:r>
            <w:r w:rsidR="00893B93">
              <w:rPr>
                <w:rFonts w:eastAsia="SymbolMT" w:cstheme="minorHAnsi"/>
              </w:rPr>
              <w:t xml:space="preserve"> the 2021-</w:t>
            </w:r>
            <w:r w:rsidRPr="000E5EA5">
              <w:rPr>
                <w:rFonts w:eastAsia="SymbolMT" w:cstheme="minorHAnsi"/>
              </w:rPr>
              <w:t>22 pay award. The issue was raised by the NI Assembly Audit Committee (NIAAC) i</w:t>
            </w:r>
            <w:r w:rsidR="00893B93">
              <w:rPr>
                <w:rFonts w:eastAsia="SymbolMT" w:cstheme="minorHAnsi"/>
              </w:rPr>
              <w:t>n considering the Office’s 2021-</w:t>
            </w:r>
            <w:r w:rsidRPr="000E5EA5">
              <w:rPr>
                <w:rFonts w:eastAsia="SymbolMT" w:cstheme="minorHAnsi"/>
              </w:rPr>
              <w:t>22 budget</w:t>
            </w:r>
            <w:r>
              <w:rPr>
                <w:rFonts w:eastAsia="SymbolMT" w:cstheme="minorHAnsi"/>
              </w:rPr>
              <w:t xml:space="preserve">.  </w:t>
            </w:r>
            <w:r w:rsidR="00893B93">
              <w:rPr>
                <w:rFonts w:eastAsia="SymbolMT" w:cstheme="minorHAnsi"/>
              </w:rPr>
              <w:t>The C&amp;AG will consider the recommendations of the Remuneration Committee and s</w:t>
            </w:r>
            <w:r>
              <w:rPr>
                <w:rFonts w:eastAsia="SymbolMT" w:cstheme="minorHAnsi"/>
              </w:rPr>
              <w:t xml:space="preserve">taff will be advised on the </w:t>
            </w:r>
            <w:r w:rsidR="00893B93">
              <w:rPr>
                <w:rFonts w:eastAsia="SymbolMT" w:cstheme="minorHAnsi"/>
              </w:rPr>
              <w:t xml:space="preserve">outcome later </w:t>
            </w:r>
            <w:r>
              <w:rPr>
                <w:rFonts w:eastAsia="SymbolMT" w:cstheme="minorHAnsi"/>
              </w:rPr>
              <w:t>this week.</w:t>
            </w:r>
            <w:r>
              <w:rPr>
                <w:rFonts w:cstheme="minorHAnsi"/>
                <w:b/>
              </w:rPr>
              <w:t xml:space="preserve"> </w:t>
            </w:r>
          </w:p>
          <w:p w:rsidR="006D42BB" w:rsidRPr="006E2714" w:rsidRDefault="006D42BB" w:rsidP="00893B93">
            <w:pPr>
              <w:pStyle w:val="ListParagraph"/>
              <w:tabs>
                <w:tab w:val="center" w:pos="4320"/>
              </w:tabs>
              <w:ind w:left="431"/>
              <w:rPr>
                <w:rFonts w:cstheme="minorHAnsi"/>
                <w:color w:val="000000" w:themeColor="text1"/>
              </w:rPr>
            </w:pPr>
          </w:p>
        </w:tc>
      </w:tr>
      <w:tr w:rsidR="00B070BF" w:rsidTr="00B070BF">
        <w:tc>
          <w:tcPr>
            <w:tcW w:w="590" w:type="dxa"/>
            <w:hideMark/>
          </w:tcPr>
          <w:p w:rsidR="00B070BF" w:rsidRDefault="00F371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  <w:r w:rsidR="00B070BF">
              <w:rPr>
                <w:b/>
                <w:bCs/>
                <w:color w:val="000000"/>
              </w:rPr>
              <w:t>.</w:t>
            </w:r>
          </w:p>
        </w:tc>
        <w:tc>
          <w:tcPr>
            <w:tcW w:w="8426" w:type="dxa"/>
          </w:tcPr>
          <w:p w:rsidR="000D7F4A" w:rsidRDefault="00E247ED" w:rsidP="000D7F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Operational Performance Report</w:t>
            </w:r>
          </w:p>
          <w:p w:rsidR="00E247ED" w:rsidRDefault="00DE37EC" w:rsidP="000D7F4A">
            <w:r w:rsidRPr="006E2714">
              <w:t xml:space="preserve">A report detailing key performance outturns for the public reporting and financial audit programmes from </w:t>
            </w:r>
            <w:r w:rsidR="00F371EB">
              <w:t>1 April 2020 to 28 February 2021</w:t>
            </w:r>
            <w:r w:rsidRPr="006E2714">
              <w:t xml:space="preserve">was presented by </w:t>
            </w:r>
            <w:r w:rsidR="00F371EB">
              <w:t>Rodney Allen</w:t>
            </w:r>
            <w:r w:rsidRPr="006E2714">
              <w:t xml:space="preserve">.  </w:t>
            </w:r>
            <w:r w:rsidR="00416746">
              <w:t>At the request of the C&amp;AG m</w:t>
            </w:r>
            <w:r w:rsidRPr="006E2714">
              <w:t>embers</w:t>
            </w:r>
            <w:r w:rsidR="00416746">
              <w:t xml:space="preserve"> provided an update</w:t>
            </w:r>
            <w:r w:rsidR="00F371EB">
              <w:t xml:space="preserve"> on </w:t>
            </w:r>
            <w:r w:rsidR="001775C4" w:rsidRPr="006E2714">
              <w:t xml:space="preserve">progress </w:t>
            </w:r>
            <w:r w:rsidR="00F371EB">
              <w:t xml:space="preserve">to date regarding </w:t>
            </w:r>
            <w:r w:rsidR="001775C4" w:rsidRPr="006E2714">
              <w:t xml:space="preserve">the clearance of backlogged audits.  </w:t>
            </w:r>
            <w:r>
              <w:t xml:space="preserve"> </w:t>
            </w:r>
          </w:p>
          <w:p w:rsidR="00416746" w:rsidRDefault="00416746" w:rsidP="000D7F4A"/>
          <w:p w:rsidR="000D7F4A" w:rsidRDefault="00416746" w:rsidP="004F153D">
            <w:pPr>
              <w:tabs>
                <w:tab w:val="left" w:pos="795"/>
                <w:tab w:val="center" w:pos="4513"/>
              </w:tabs>
              <w:rPr>
                <w:color w:val="FF0000"/>
              </w:rPr>
            </w:pPr>
            <w:r>
              <w:t xml:space="preserve">Suzanne Walsh </w:t>
            </w:r>
            <w:r w:rsidR="004F153D">
              <w:t>advised</w:t>
            </w:r>
            <w:r w:rsidR="004F153D" w:rsidRPr="004F153D">
              <w:t xml:space="preserve"> </w:t>
            </w:r>
            <w:r w:rsidR="00B11005">
              <w:t xml:space="preserve">that </w:t>
            </w:r>
            <w:r w:rsidR="004F153D" w:rsidRPr="004F153D">
              <w:t>the</w:t>
            </w:r>
            <w:r w:rsidR="00B11005">
              <w:t xml:space="preserve"> Data Analytics and Visualisations</w:t>
            </w:r>
            <w:r w:rsidR="00AA2BD2">
              <w:t xml:space="preserve"> </w:t>
            </w:r>
            <w:r w:rsidR="004F153D" w:rsidRPr="004F153D">
              <w:t xml:space="preserve">Team will liaise with the C&amp;AG and the Directorate </w:t>
            </w:r>
            <w:r w:rsidR="00B11005">
              <w:t>to develop an interactive dashboard to provide performance information in a more user friendly and accessible format.</w:t>
            </w:r>
            <w:r w:rsidR="004F153D" w:rsidRPr="004F153D">
              <w:t xml:space="preserve"> </w:t>
            </w:r>
          </w:p>
          <w:p w:rsidR="004F153D" w:rsidRPr="00DE057D" w:rsidRDefault="004F153D" w:rsidP="004F153D">
            <w:pPr>
              <w:tabs>
                <w:tab w:val="left" w:pos="795"/>
                <w:tab w:val="center" w:pos="4513"/>
              </w:tabs>
              <w:rPr>
                <w:lang w:val="en-US"/>
              </w:rPr>
            </w:pPr>
          </w:p>
        </w:tc>
      </w:tr>
      <w:tr w:rsidR="00B070BF" w:rsidTr="004F153D">
        <w:trPr>
          <w:trHeight w:val="1373"/>
        </w:trPr>
        <w:tc>
          <w:tcPr>
            <w:tcW w:w="590" w:type="dxa"/>
            <w:hideMark/>
          </w:tcPr>
          <w:p w:rsidR="00B070BF" w:rsidRDefault="004167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070BF">
              <w:rPr>
                <w:b/>
                <w:bCs/>
                <w:color w:val="000000"/>
              </w:rPr>
              <w:t>.</w:t>
            </w:r>
          </w:p>
        </w:tc>
        <w:tc>
          <w:tcPr>
            <w:tcW w:w="8426" w:type="dxa"/>
          </w:tcPr>
          <w:p w:rsidR="000D7F4A" w:rsidRPr="006E2714" w:rsidRDefault="004F153D" w:rsidP="000D7F4A">
            <w:pPr>
              <w:pStyle w:val="ListParagraph"/>
              <w:ind w:left="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Three Year Public Reporting Plan</w:t>
            </w:r>
          </w:p>
          <w:p w:rsidR="008240FD" w:rsidRPr="006E2714" w:rsidRDefault="004F153D" w:rsidP="004F153D">
            <w:pPr>
              <w:pStyle w:val="ListParagraph"/>
              <w:ind w:left="6"/>
            </w:pPr>
            <w:r>
              <w:t>Suzanne Walsh advised the Plan presented has been agreed by the Operational Management Team (OMT) and a meeting will be scheduled to discuss resourcing.  An update will be provided at the next SMT.</w:t>
            </w:r>
          </w:p>
        </w:tc>
      </w:tr>
      <w:tr w:rsidR="004F153D" w:rsidRPr="00F8596D" w:rsidTr="007377B0">
        <w:tc>
          <w:tcPr>
            <w:tcW w:w="590" w:type="dxa"/>
          </w:tcPr>
          <w:p w:rsidR="004F153D" w:rsidRPr="00786308" w:rsidRDefault="004F153D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426" w:type="dxa"/>
          </w:tcPr>
          <w:p w:rsidR="004F153D" w:rsidRDefault="00C826A1" w:rsidP="003547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="004F153D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P</w:t>
            </w:r>
            <w:r w:rsidR="004F153D">
              <w:rPr>
                <w:rFonts w:cstheme="minorHAnsi"/>
                <w:b/>
                <w:bCs/>
              </w:rPr>
              <w:t xml:space="preserve"> Update</w:t>
            </w:r>
          </w:p>
          <w:p w:rsidR="004F153D" w:rsidRPr="005A7D76" w:rsidRDefault="004F153D" w:rsidP="00BE6F47">
            <w:pPr>
              <w:spacing w:after="160"/>
              <w:rPr>
                <w:color w:val="000000" w:themeColor="text1"/>
              </w:rPr>
            </w:pPr>
            <w:r w:rsidRPr="005A7D76">
              <w:rPr>
                <w:rFonts w:cstheme="minorHAnsi"/>
                <w:bCs/>
              </w:rPr>
              <w:t xml:space="preserve">Suzanne Walsh </w:t>
            </w:r>
            <w:r w:rsidR="005A7D76">
              <w:rPr>
                <w:rFonts w:cstheme="minorHAnsi"/>
                <w:bCs/>
              </w:rPr>
              <w:t>presented a paper detailing</w:t>
            </w:r>
            <w:r w:rsidRPr="005A7D76">
              <w:rPr>
                <w:color w:val="000000" w:themeColor="text1"/>
              </w:rPr>
              <w:t xml:space="preserve"> the current position of </w:t>
            </w:r>
            <w:r w:rsidR="005A7D76" w:rsidRPr="005A7D76">
              <w:rPr>
                <w:color w:val="000000" w:themeColor="text1"/>
              </w:rPr>
              <w:t>phase one</w:t>
            </w:r>
            <w:r w:rsidRPr="005A7D76">
              <w:rPr>
                <w:color w:val="000000" w:themeColor="text1"/>
              </w:rPr>
              <w:t xml:space="preserve"> the Office’s BTP</w:t>
            </w:r>
            <w:r w:rsidR="005A7D76">
              <w:rPr>
                <w:color w:val="000000" w:themeColor="text1"/>
              </w:rPr>
              <w:t xml:space="preserve"> </w:t>
            </w:r>
            <w:r w:rsidRPr="005A7D76">
              <w:rPr>
                <w:color w:val="000000" w:themeColor="text1"/>
              </w:rPr>
              <w:t>and</w:t>
            </w:r>
            <w:r w:rsidR="005A7D76">
              <w:rPr>
                <w:color w:val="000000" w:themeColor="text1"/>
              </w:rPr>
              <w:t xml:space="preserve"> providing</w:t>
            </w:r>
            <w:r w:rsidR="005A7D76" w:rsidRPr="005A7D76">
              <w:rPr>
                <w:color w:val="000000" w:themeColor="text1"/>
              </w:rPr>
              <w:t xml:space="preserve"> </w:t>
            </w:r>
            <w:r w:rsidRPr="005A7D76">
              <w:rPr>
                <w:color w:val="000000" w:themeColor="text1"/>
              </w:rPr>
              <w:t>a summary of projects put forward</w:t>
            </w:r>
            <w:r w:rsidR="005A7D76" w:rsidRPr="005A7D76">
              <w:rPr>
                <w:color w:val="000000" w:themeColor="text1"/>
              </w:rPr>
              <w:t xml:space="preserve"> by OMT for inclusion in phase two</w:t>
            </w:r>
            <w:r w:rsidRPr="005A7D76">
              <w:rPr>
                <w:color w:val="000000" w:themeColor="text1"/>
              </w:rPr>
              <w:t xml:space="preserve"> of the programme.</w:t>
            </w:r>
            <w:r w:rsidR="005A7D76" w:rsidRPr="005A7D76">
              <w:rPr>
                <w:color w:val="000000" w:themeColor="text1"/>
              </w:rPr>
              <w:t xml:space="preserve"> </w:t>
            </w:r>
            <w:r w:rsidRPr="005A7D76">
              <w:rPr>
                <w:color w:val="000000" w:themeColor="text1"/>
              </w:rPr>
              <w:t>PIDs will be developed by teams over the next few weeks for further consideration and approval by SMT.</w:t>
            </w:r>
          </w:p>
        </w:tc>
      </w:tr>
      <w:tr w:rsidR="00F248C8" w:rsidRPr="00F8596D" w:rsidTr="007377B0">
        <w:tc>
          <w:tcPr>
            <w:tcW w:w="590" w:type="dxa"/>
          </w:tcPr>
          <w:p w:rsidR="00F248C8" w:rsidRPr="00786308" w:rsidRDefault="00F248C8" w:rsidP="00677EC6">
            <w:pPr>
              <w:rPr>
                <w:rFonts w:cstheme="minorHAnsi"/>
                <w:b/>
                <w:color w:val="000000" w:themeColor="text1"/>
              </w:rPr>
            </w:pPr>
            <w:r w:rsidRPr="00786308">
              <w:rPr>
                <w:rFonts w:cstheme="minorHAnsi"/>
                <w:b/>
                <w:color w:val="000000" w:themeColor="text1"/>
              </w:rPr>
              <w:t>1</w:t>
            </w:r>
            <w:r w:rsidR="00D930CC">
              <w:rPr>
                <w:rFonts w:cstheme="minorHAnsi"/>
                <w:b/>
                <w:color w:val="000000" w:themeColor="text1"/>
              </w:rPr>
              <w:t>0</w:t>
            </w:r>
            <w:r w:rsidRPr="00786308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:rsidR="006E2714" w:rsidRDefault="00D416AF" w:rsidP="003547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Technical Update</w:t>
            </w:r>
          </w:p>
          <w:p w:rsidR="005A7D76" w:rsidRPr="005A7D76" w:rsidRDefault="005A7D76" w:rsidP="005A7D76">
            <w:pPr>
              <w:ind w:left="6"/>
              <w:jc w:val="both"/>
              <w:rPr>
                <w:b/>
                <w:color w:val="000000" w:themeColor="text1"/>
              </w:rPr>
            </w:pPr>
            <w:r>
              <w:t>Suzanne Walsh provided a verbal</w:t>
            </w:r>
            <w:r w:rsidR="00354711">
              <w:t xml:space="preserve"> update on </w:t>
            </w:r>
            <w:r>
              <w:t xml:space="preserve">the following </w:t>
            </w:r>
            <w:r w:rsidR="00354711">
              <w:t>technical matters</w:t>
            </w:r>
            <w:r>
              <w:t>:</w:t>
            </w:r>
          </w:p>
          <w:p w:rsidR="005A7D76" w:rsidRPr="005A7D76" w:rsidRDefault="005A7D76" w:rsidP="005A7D76">
            <w:pPr>
              <w:pStyle w:val="ListParagraph"/>
              <w:numPr>
                <w:ilvl w:val="0"/>
                <w:numId w:val="6"/>
              </w:numPr>
              <w:ind w:left="431"/>
              <w:jc w:val="both"/>
              <w:rPr>
                <w:color w:val="000000" w:themeColor="text1"/>
              </w:rPr>
            </w:pPr>
            <w:r w:rsidRPr="005A7D76">
              <w:rPr>
                <w:color w:val="000000" w:themeColor="text1"/>
              </w:rPr>
              <w:t>QCR process</w:t>
            </w:r>
          </w:p>
          <w:p w:rsidR="005A7D76" w:rsidRPr="005A7D76" w:rsidRDefault="005A7D76" w:rsidP="005A7D76">
            <w:pPr>
              <w:pStyle w:val="ListParagraph"/>
              <w:numPr>
                <w:ilvl w:val="0"/>
                <w:numId w:val="6"/>
              </w:numPr>
              <w:ind w:left="431"/>
              <w:jc w:val="both"/>
              <w:rPr>
                <w:color w:val="000000" w:themeColor="text1"/>
              </w:rPr>
            </w:pPr>
            <w:r w:rsidRPr="005A7D76">
              <w:rPr>
                <w:color w:val="000000" w:themeColor="text1"/>
              </w:rPr>
              <w:t>EQCRs</w:t>
            </w:r>
          </w:p>
          <w:p w:rsidR="005A7D76" w:rsidRPr="005A7D76" w:rsidRDefault="005A7D76" w:rsidP="005A7D76">
            <w:pPr>
              <w:pStyle w:val="ListParagraph"/>
              <w:numPr>
                <w:ilvl w:val="0"/>
                <w:numId w:val="6"/>
              </w:numPr>
              <w:ind w:left="431"/>
              <w:jc w:val="both"/>
              <w:rPr>
                <w:color w:val="000000" w:themeColor="text1"/>
              </w:rPr>
            </w:pPr>
            <w:r w:rsidRPr="005A7D76">
              <w:rPr>
                <w:color w:val="000000" w:themeColor="text1"/>
              </w:rPr>
              <w:t>Technical training</w:t>
            </w:r>
          </w:p>
          <w:p w:rsidR="005A7D76" w:rsidRPr="005A7D76" w:rsidRDefault="005A7D76" w:rsidP="005A7D76">
            <w:pPr>
              <w:pStyle w:val="ListParagraph"/>
              <w:numPr>
                <w:ilvl w:val="0"/>
                <w:numId w:val="6"/>
              </w:numPr>
              <w:ind w:left="431"/>
              <w:jc w:val="both"/>
              <w:rPr>
                <w:color w:val="000000" w:themeColor="text1"/>
              </w:rPr>
            </w:pPr>
            <w:r w:rsidRPr="005A7D76">
              <w:rPr>
                <w:color w:val="000000" w:themeColor="text1"/>
              </w:rPr>
              <w:t>Guidance issued by AFMD</w:t>
            </w:r>
          </w:p>
          <w:p w:rsidR="00F248C8" w:rsidRPr="00DE057D" w:rsidRDefault="00F248C8" w:rsidP="005A7D76">
            <w:pPr>
              <w:rPr>
                <w:rFonts w:cstheme="minorHAnsi"/>
                <w:bCs/>
                <w:color w:val="323E4F" w:themeColor="text2" w:themeShade="BF"/>
              </w:rPr>
            </w:pPr>
          </w:p>
        </w:tc>
      </w:tr>
      <w:tr w:rsidR="00965CD1" w:rsidRPr="00F8596D" w:rsidTr="007377B0">
        <w:tc>
          <w:tcPr>
            <w:tcW w:w="590" w:type="dxa"/>
          </w:tcPr>
          <w:p w:rsidR="00965CD1" w:rsidRDefault="00D930CC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</w:t>
            </w:r>
            <w:r w:rsidR="00965CD1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426" w:type="dxa"/>
          </w:tcPr>
          <w:p w:rsidR="00965CD1" w:rsidRDefault="00034814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Papers Noted</w:t>
            </w:r>
          </w:p>
          <w:p w:rsidR="00D930CC" w:rsidRPr="00BE6F47" w:rsidRDefault="00D930CC" w:rsidP="00D930CC">
            <w:pPr>
              <w:pStyle w:val="Default"/>
              <w:numPr>
                <w:ilvl w:val="0"/>
                <w:numId w:val="1"/>
              </w:numPr>
              <w:ind w:left="431" w:hanging="42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E6F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Advisory Board Draft Minutes –  9 February 2021</w:t>
            </w:r>
          </w:p>
          <w:p w:rsidR="00034814" w:rsidRPr="00BE6F47" w:rsidRDefault="00D930CC" w:rsidP="00D930CC">
            <w:pPr>
              <w:pStyle w:val="Default"/>
              <w:numPr>
                <w:ilvl w:val="0"/>
                <w:numId w:val="1"/>
              </w:numPr>
              <w:ind w:left="431" w:hanging="42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E6F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Remuneration Committee Draft Minutes – 9 March 2021</w:t>
            </w:r>
          </w:p>
          <w:p w:rsidR="00C10FFE" w:rsidRPr="00034814" w:rsidRDefault="00C10FFE" w:rsidP="00034814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</w:tc>
      </w:tr>
      <w:tr w:rsidR="00C10FFE" w:rsidRPr="00F8596D" w:rsidTr="007377B0">
        <w:tc>
          <w:tcPr>
            <w:tcW w:w="590" w:type="dxa"/>
          </w:tcPr>
          <w:p w:rsidR="00C10FFE" w:rsidRDefault="00C10FFE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16.</w:t>
            </w:r>
          </w:p>
        </w:tc>
        <w:tc>
          <w:tcPr>
            <w:tcW w:w="8426" w:type="dxa"/>
          </w:tcPr>
          <w:p w:rsidR="00C10FFE" w:rsidRDefault="00C10FFE" w:rsidP="00677E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AOB</w:t>
            </w:r>
          </w:p>
          <w:p w:rsidR="00C10FFE" w:rsidRPr="00034814" w:rsidRDefault="00034814" w:rsidP="005A7D76">
            <w:pPr>
              <w:pStyle w:val="ListParagraph"/>
              <w:numPr>
                <w:ilvl w:val="0"/>
                <w:numId w:val="1"/>
              </w:numPr>
              <w:ind w:left="431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Next meeting </w:t>
            </w:r>
            <w:r w:rsidR="00CE43C8">
              <w:rPr>
                <w:rFonts w:cstheme="minorHAnsi"/>
                <w:color w:val="000000" w:themeColor="text1"/>
              </w:rPr>
              <w:t>20 April</w:t>
            </w:r>
            <w:r>
              <w:rPr>
                <w:rFonts w:cstheme="minorHAnsi"/>
                <w:color w:val="000000" w:themeColor="text1"/>
              </w:rPr>
              <w:t xml:space="preserve"> 2021</w:t>
            </w:r>
            <w:r w:rsidR="00C10FFE" w:rsidRPr="00034814">
              <w:rPr>
                <w:rFonts w:cstheme="minorHAnsi"/>
                <w:color w:val="000000" w:themeColor="text1"/>
              </w:rPr>
              <w:t xml:space="preserve"> @ 10am</w:t>
            </w:r>
          </w:p>
        </w:tc>
      </w:tr>
    </w:tbl>
    <w:p w:rsidR="00FD1C58" w:rsidRPr="00F8596D" w:rsidRDefault="00FD1C58" w:rsidP="00C45BA0">
      <w:pPr>
        <w:spacing w:after="0" w:line="240" w:lineRule="auto"/>
        <w:rPr>
          <w:rFonts w:cstheme="minorHAnsi"/>
          <w:color w:val="000000" w:themeColor="text1"/>
        </w:rPr>
      </w:pPr>
    </w:p>
    <w:p w:rsidR="00B16682" w:rsidRPr="00F8596D" w:rsidRDefault="00B16682" w:rsidP="003A2AF6">
      <w:pPr>
        <w:spacing w:after="0" w:line="240" w:lineRule="auto"/>
        <w:rPr>
          <w:rFonts w:cstheme="minorHAnsi"/>
          <w:color w:val="000000" w:themeColor="text1"/>
        </w:rPr>
      </w:pPr>
    </w:p>
    <w:sectPr w:rsidR="00B16682" w:rsidRPr="00F85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35" w:rsidRDefault="00D53135" w:rsidP="000D0AEE">
      <w:pPr>
        <w:spacing w:after="0" w:line="240" w:lineRule="auto"/>
      </w:pPr>
      <w:r>
        <w:separator/>
      </w:r>
    </w:p>
  </w:endnote>
  <w:endnote w:type="continuationSeparator" w:id="0">
    <w:p w:rsidR="00D53135" w:rsidRDefault="00D53135" w:rsidP="000D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69" w:rsidRDefault="00583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19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AEE" w:rsidRDefault="000D0AEE" w:rsidP="0073585D">
        <w:pPr>
          <w:pStyle w:val="Footer"/>
          <w:jc w:val="right"/>
        </w:pPr>
        <w:r w:rsidRPr="0073585D">
          <w:rPr>
            <w:color w:val="767171" w:themeColor="background2" w:themeShade="80"/>
            <w:sz w:val="36"/>
            <w:szCs w:val="36"/>
          </w:rPr>
          <w:fldChar w:fldCharType="begin"/>
        </w:r>
        <w:r w:rsidRPr="0073585D">
          <w:rPr>
            <w:color w:val="767171" w:themeColor="background2" w:themeShade="80"/>
            <w:sz w:val="36"/>
            <w:szCs w:val="36"/>
          </w:rPr>
          <w:instrText xml:space="preserve"> PAGE   \* MERGEFORMAT </w:instrText>
        </w:r>
        <w:r w:rsidRPr="0073585D">
          <w:rPr>
            <w:color w:val="767171" w:themeColor="background2" w:themeShade="80"/>
            <w:sz w:val="36"/>
            <w:szCs w:val="36"/>
          </w:rPr>
          <w:fldChar w:fldCharType="separate"/>
        </w:r>
        <w:r w:rsidR="00A56C63">
          <w:rPr>
            <w:noProof/>
            <w:color w:val="767171" w:themeColor="background2" w:themeShade="80"/>
            <w:sz w:val="36"/>
            <w:szCs w:val="36"/>
          </w:rPr>
          <w:t>1</w:t>
        </w:r>
        <w:r w:rsidRPr="0073585D">
          <w:rPr>
            <w:noProof/>
            <w:color w:val="767171" w:themeColor="background2" w:themeShade="80"/>
            <w:sz w:val="36"/>
            <w:szCs w:val="36"/>
          </w:rPr>
          <w:fldChar w:fldCharType="end"/>
        </w:r>
      </w:p>
    </w:sdtContent>
  </w:sdt>
  <w:p w:rsidR="000D0AEE" w:rsidRDefault="000D0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69" w:rsidRDefault="00583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35" w:rsidRDefault="00D53135" w:rsidP="000D0AEE">
      <w:pPr>
        <w:spacing w:after="0" w:line="240" w:lineRule="auto"/>
      </w:pPr>
      <w:r>
        <w:separator/>
      </w:r>
    </w:p>
  </w:footnote>
  <w:footnote w:type="continuationSeparator" w:id="0">
    <w:p w:rsidR="00D53135" w:rsidRDefault="00D53135" w:rsidP="000D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69" w:rsidRDefault="005830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32" w:rsidRDefault="00C16632" w:rsidP="0029645D">
    <w:pPr>
      <w:pStyle w:val="Header"/>
      <w:jc w:val="right"/>
      <w:rPr>
        <w:rFonts w:cstheme="minorHAnsi"/>
        <w:smallCaps/>
        <w:color w:val="ED7D31" w:themeColor="accent2"/>
        <w:sz w:val="36"/>
        <w:szCs w:val="36"/>
      </w:rPr>
    </w:pPr>
    <w:r>
      <w:rPr>
        <w:rFonts w:ascii="Open Sans" w:hAnsi="Open Sans"/>
        <w:noProof/>
        <w:color w:val="1D2997"/>
        <w:lang w:eastAsia="en-GB"/>
      </w:rPr>
      <w:drawing>
        <wp:anchor distT="0" distB="0" distL="114300" distR="114300" simplePos="0" relativeHeight="251657216" behindDoc="1" locked="0" layoutInCell="1" allowOverlap="1" wp14:anchorId="2AA13B4E" wp14:editId="066CF12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62075" cy="541020"/>
          <wp:effectExtent l="0" t="0" r="9525" b="0"/>
          <wp:wrapTight wrapText="bothSides">
            <wp:wrapPolygon edited="0">
              <wp:start x="0" y="0"/>
              <wp:lineTo x="0" y="20535"/>
              <wp:lineTo x="21449" y="20535"/>
              <wp:lineTo x="21449" y="0"/>
              <wp:lineTo x="0" y="0"/>
            </wp:wrapPolygon>
          </wp:wrapTight>
          <wp:docPr id="1" name="Picture 1" descr="Northern Ireland Audit Offic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Ireland Audit Offic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645D" w:rsidRPr="0029645D" w:rsidRDefault="0029645D" w:rsidP="0029645D">
    <w:pPr>
      <w:pStyle w:val="Header"/>
      <w:jc w:val="right"/>
    </w:pPr>
  </w:p>
  <w:p w:rsidR="0073585D" w:rsidRDefault="0073585D" w:rsidP="0073585D">
    <w:pPr>
      <w:ind w:left="504"/>
      <w:jc w:val="right"/>
      <w:rPr>
        <w:smallCaps/>
        <w:color w:val="ED7D31" w:themeColor="accent2"/>
        <w:sz w:val="2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69" w:rsidRDefault="00583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65"/>
    <w:multiLevelType w:val="hybridMultilevel"/>
    <w:tmpl w:val="1860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B8F"/>
    <w:multiLevelType w:val="hybridMultilevel"/>
    <w:tmpl w:val="D160DA6A"/>
    <w:lvl w:ilvl="0" w:tplc="FBEE6FB6">
      <w:start w:val="1"/>
      <w:numFmt w:val="bullet"/>
      <w:lvlText w:val="-"/>
      <w:lvlJc w:val="left"/>
      <w:pPr>
        <w:ind w:left="1435" w:hanging="360"/>
      </w:pPr>
      <w:rPr>
        <w:rFonts w:ascii="Baskerville Old Face" w:hAnsi="Baskerville Old Face" w:hint="default"/>
      </w:rPr>
    </w:lvl>
    <w:lvl w:ilvl="1" w:tplc="08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4F1E7CCE"/>
    <w:multiLevelType w:val="hybridMultilevel"/>
    <w:tmpl w:val="6542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1482"/>
    <w:multiLevelType w:val="hybridMultilevel"/>
    <w:tmpl w:val="CEF87EC4"/>
    <w:lvl w:ilvl="0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53262A2D"/>
    <w:multiLevelType w:val="hybridMultilevel"/>
    <w:tmpl w:val="9AC6084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0432DD9"/>
    <w:multiLevelType w:val="hybridMultilevel"/>
    <w:tmpl w:val="3D60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246F"/>
    <w:multiLevelType w:val="hybridMultilevel"/>
    <w:tmpl w:val="C8A0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58"/>
    <w:rsid w:val="00000BC3"/>
    <w:rsid w:val="00002734"/>
    <w:rsid w:val="00003AA8"/>
    <w:rsid w:val="00003D58"/>
    <w:rsid w:val="0000436C"/>
    <w:rsid w:val="00006B3D"/>
    <w:rsid w:val="00010D59"/>
    <w:rsid w:val="00014A5C"/>
    <w:rsid w:val="00015300"/>
    <w:rsid w:val="000161C7"/>
    <w:rsid w:val="00021863"/>
    <w:rsid w:val="00021BA3"/>
    <w:rsid w:val="00023522"/>
    <w:rsid w:val="00024A8E"/>
    <w:rsid w:val="0002550B"/>
    <w:rsid w:val="00031070"/>
    <w:rsid w:val="00032BF7"/>
    <w:rsid w:val="0003361C"/>
    <w:rsid w:val="00034814"/>
    <w:rsid w:val="00035E3F"/>
    <w:rsid w:val="00041EFD"/>
    <w:rsid w:val="00042E95"/>
    <w:rsid w:val="00047778"/>
    <w:rsid w:val="00047D58"/>
    <w:rsid w:val="0005144F"/>
    <w:rsid w:val="00051E6B"/>
    <w:rsid w:val="00055D0E"/>
    <w:rsid w:val="00064CAB"/>
    <w:rsid w:val="00065F57"/>
    <w:rsid w:val="00066D3A"/>
    <w:rsid w:val="00070CE2"/>
    <w:rsid w:val="000723BD"/>
    <w:rsid w:val="000736B4"/>
    <w:rsid w:val="00081406"/>
    <w:rsid w:val="00082692"/>
    <w:rsid w:val="00082E19"/>
    <w:rsid w:val="00084050"/>
    <w:rsid w:val="000856AF"/>
    <w:rsid w:val="00092085"/>
    <w:rsid w:val="00092A20"/>
    <w:rsid w:val="00093724"/>
    <w:rsid w:val="00095F8A"/>
    <w:rsid w:val="00096E0C"/>
    <w:rsid w:val="000A0CEE"/>
    <w:rsid w:val="000A5368"/>
    <w:rsid w:val="000A7659"/>
    <w:rsid w:val="000A7DD7"/>
    <w:rsid w:val="000B06A1"/>
    <w:rsid w:val="000B24E4"/>
    <w:rsid w:val="000B7119"/>
    <w:rsid w:val="000B7B4D"/>
    <w:rsid w:val="000B7BDC"/>
    <w:rsid w:val="000C119D"/>
    <w:rsid w:val="000C39DA"/>
    <w:rsid w:val="000C3D02"/>
    <w:rsid w:val="000C4EF5"/>
    <w:rsid w:val="000C55F2"/>
    <w:rsid w:val="000D0AEE"/>
    <w:rsid w:val="000D0C78"/>
    <w:rsid w:val="000D0C85"/>
    <w:rsid w:val="000D4D54"/>
    <w:rsid w:val="000D5B95"/>
    <w:rsid w:val="000D6C92"/>
    <w:rsid w:val="000D728B"/>
    <w:rsid w:val="000D7596"/>
    <w:rsid w:val="000D7F4A"/>
    <w:rsid w:val="000E0F87"/>
    <w:rsid w:val="000E3E9F"/>
    <w:rsid w:val="000E56BA"/>
    <w:rsid w:val="000E6858"/>
    <w:rsid w:val="000F18B2"/>
    <w:rsid w:val="000F2453"/>
    <w:rsid w:val="000F2DC8"/>
    <w:rsid w:val="000F2EB0"/>
    <w:rsid w:val="000F54E2"/>
    <w:rsid w:val="00103500"/>
    <w:rsid w:val="0010467C"/>
    <w:rsid w:val="00106CD9"/>
    <w:rsid w:val="00111870"/>
    <w:rsid w:val="00111CE2"/>
    <w:rsid w:val="00112838"/>
    <w:rsid w:val="00114287"/>
    <w:rsid w:val="00114955"/>
    <w:rsid w:val="001162A4"/>
    <w:rsid w:val="0011707C"/>
    <w:rsid w:val="00121C53"/>
    <w:rsid w:val="00121EF1"/>
    <w:rsid w:val="0012417C"/>
    <w:rsid w:val="00125290"/>
    <w:rsid w:val="0012548D"/>
    <w:rsid w:val="00126308"/>
    <w:rsid w:val="00133438"/>
    <w:rsid w:val="00133990"/>
    <w:rsid w:val="00133EBE"/>
    <w:rsid w:val="001353FC"/>
    <w:rsid w:val="0013571C"/>
    <w:rsid w:val="00135E40"/>
    <w:rsid w:val="00140D77"/>
    <w:rsid w:val="00141644"/>
    <w:rsid w:val="001416DA"/>
    <w:rsid w:val="00141B75"/>
    <w:rsid w:val="001428F3"/>
    <w:rsid w:val="00142A71"/>
    <w:rsid w:val="00143D10"/>
    <w:rsid w:val="00144966"/>
    <w:rsid w:val="00144CF5"/>
    <w:rsid w:val="001466AF"/>
    <w:rsid w:val="00147E57"/>
    <w:rsid w:val="00150430"/>
    <w:rsid w:val="001515C6"/>
    <w:rsid w:val="00153C3A"/>
    <w:rsid w:val="001602AE"/>
    <w:rsid w:val="0016057E"/>
    <w:rsid w:val="001642DC"/>
    <w:rsid w:val="0016482E"/>
    <w:rsid w:val="00172DF1"/>
    <w:rsid w:val="001730C1"/>
    <w:rsid w:val="001746ED"/>
    <w:rsid w:val="001758AA"/>
    <w:rsid w:val="001775C4"/>
    <w:rsid w:val="001775C8"/>
    <w:rsid w:val="00181B6B"/>
    <w:rsid w:val="00184149"/>
    <w:rsid w:val="001848E3"/>
    <w:rsid w:val="00193662"/>
    <w:rsid w:val="00194581"/>
    <w:rsid w:val="00194813"/>
    <w:rsid w:val="001951C8"/>
    <w:rsid w:val="001A1EF2"/>
    <w:rsid w:val="001A2510"/>
    <w:rsid w:val="001A2E05"/>
    <w:rsid w:val="001A7FE4"/>
    <w:rsid w:val="001B1EAF"/>
    <w:rsid w:val="001B1F5D"/>
    <w:rsid w:val="001B7DE3"/>
    <w:rsid w:val="001C052F"/>
    <w:rsid w:val="001C0C91"/>
    <w:rsid w:val="001C12D4"/>
    <w:rsid w:val="001C585E"/>
    <w:rsid w:val="001C6B6C"/>
    <w:rsid w:val="001D11D6"/>
    <w:rsid w:val="001D2E68"/>
    <w:rsid w:val="001D32DD"/>
    <w:rsid w:val="001D40FE"/>
    <w:rsid w:val="001D43F1"/>
    <w:rsid w:val="001D45E0"/>
    <w:rsid w:val="001D695F"/>
    <w:rsid w:val="001D6BF4"/>
    <w:rsid w:val="001E1F80"/>
    <w:rsid w:val="001E70D3"/>
    <w:rsid w:val="001E75F2"/>
    <w:rsid w:val="001F18F3"/>
    <w:rsid w:val="001F338A"/>
    <w:rsid w:val="001F3EE5"/>
    <w:rsid w:val="00200C23"/>
    <w:rsid w:val="00201475"/>
    <w:rsid w:val="00206677"/>
    <w:rsid w:val="0020671B"/>
    <w:rsid w:val="002137C4"/>
    <w:rsid w:val="00213A31"/>
    <w:rsid w:val="00215E03"/>
    <w:rsid w:val="00216543"/>
    <w:rsid w:val="00216C48"/>
    <w:rsid w:val="00221F26"/>
    <w:rsid w:val="0022320F"/>
    <w:rsid w:val="00223698"/>
    <w:rsid w:val="00224355"/>
    <w:rsid w:val="00226110"/>
    <w:rsid w:val="00226209"/>
    <w:rsid w:val="00227758"/>
    <w:rsid w:val="00231333"/>
    <w:rsid w:val="00231BF5"/>
    <w:rsid w:val="00232759"/>
    <w:rsid w:val="00232E18"/>
    <w:rsid w:val="002332ED"/>
    <w:rsid w:val="00233485"/>
    <w:rsid w:val="002339A6"/>
    <w:rsid w:val="00233C87"/>
    <w:rsid w:val="00236AD2"/>
    <w:rsid w:val="0024125E"/>
    <w:rsid w:val="002423CD"/>
    <w:rsid w:val="00244E7D"/>
    <w:rsid w:val="002477F5"/>
    <w:rsid w:val="0025289A"/>
    <w:rsid w:val="00253B06"/>
    <w:rsid w:val="002545FC"/>
    <w:rsid w:val="00255D17"/>
    <w:rsid w:val="00257639"/>
    <w:rsid w:val="00262E2D"/>
    <w:rsid w:val="002631C7"/>
    <w:rsid w:val="00264143"/>
    <w:rsid w:val="00264C72"/>
    <w:rsid w:val="00265BBB"/>
    <w:rsid w:val="002677EF"/>
    <w:rsid w:val="00270370"/>
    <w:rsid w:val="002719A2"/>
    <w:rsid w:val="00273680"/>
    <w:rsid w:val="00274382"/>
    <w:rsid w:val="00277D57"/>
    <w:rsid w:val="00281FF6"/>
    <w:rsid w:val="00283E44"/>
    <w:rsid w:val="00285D60"/>
    <w:rsid w:val="0029307E"/>
    <w:rsid w:val="00295123"/>
    <w:rsid w:val="00295912"/>
    <w:rsid w:val="0029645D"/>
    <w:rsid w:val="00297D96"/>
    <w:rsid w:val="002A28BF"/>
    <w:rsid w:val="002A7536"/>
    <w:rsid w:val="002B1DAF"/>
    <w:rsid w:val="002B48DE"/>
    <w:rsid w:val="002B54A5"/>
    <w:rsid w:val="002B5927"/>
    <w:rsid w:val="002B6838"/>
    <w:rsid w:val="002B6E88"/>
    <w:rsid w:val="002C3EFD"/>
    <w:rsid w:val="002D02AA"/>
    <w:rsid w:val="002D0A22"/>
    <w:rsid w:val="002E1626"/>
    <w:rsid w:val="002E405B"/>
    <w:rsid w:val="002E67D0"/>
    <w:rsid w:val="002E69B0"/>
    <w:rsid w:val="002E7672"/>
    <w:rsid w:val="002F1D38"/>
    <w:rsid w:val="002F3385"/>
    <w:rsid w:val="002F4010"/>
    <w:rsid w:val="002F55FD"/>
    <w:rsid w:val="003021EE"/>
    <w:rsid w:val="00303331"/>
    <w:rsid w:val="00306AB4"/>
    <w:rsid w:val="0030760D"/>
    <w:rsid w:val="00310FF9"/>
    <w:rsid w:val="003123BF"/>
    <w:rsid w:val="0031263E"/>
    <w:rsid w:val="00313B9E"/>
    <w:rsid w:val="0031448B"/>
    <w:rsid w:val="0031687A"/>
    <w:rsid w:val="00316C91"/>
    <w:rsid w:val="00317C8A"/>
    <w:rsid w:val="003202F1"/>
    <w:rsid w:val="00321B81"/>
    <w:rsid w:val="0032209F"/>
    <w:rsid w:val="00324B77"/>
    <w:rsid w:val="00325BD9"/>
    <w:rsid w:val="00326B94"/>
    <w:rsid w:val="0032731F"/>
    <w:rsid w:val="0032795C"/>
    <w:rsid w:val="00327C05"/>
    <w:rsid w:val="00327F9A"/>
    <w:rsid w:val="003322EA"/>
    <w:rsid w:val="003324BC"/>
    <w:rsid w:val="003325A1"/>
    <w:rsid w:val="00332C29"/>
    <w:rsid w:val="003341B0"/>
    <w:rsid w:val="00335F43"/>
    <w:rsid w:val="00336E67"/>
    <w:rsid w:val="00341E74"/>
    <w:rsid w:val="003442C1"/>
    <w:rsid w:val="003471EF"/>
    <w:rsid w:val="00350900"/>
    <w:rsid w:val="003515CF"/>
    <w:rsid w:val="00353144"/>
    <w:rsid w:val="003544EE"/>
    <w:rsid w:val="00354711"/>
    <w:rsid w:val="00356E29"/>
    <w:rsid w:val="00366BB3"/>
    <w:rsid w:val="00366F1C"/>
    <w:rsid w:val="00370C19"/>
    <w:rsid w:val="00370D21"/>
    <w:rsid w:val="003717C8"/>
    <w:rsid w:val="0037201F"/>
    <w:rsid w:val="003758E5"/>
    <w:rsid w:val="00380894"/>
    <w:rsid w:val="00381758"/>
    <w:rsid w:val="00381EE8"/>
    <w:rsid w:val="00382F31"/>
    <w:rsid w:val="00384112"/>
    <w:rsid w:val="00384550"/>
    <w:rsid w:val="003901BD"/>
    <w:rsid w:val="00390233"/>
    <w:rsid w:val="003940BF"/>
    <w:rsid w:val="00395CEF"/>
    <w:rsid w:val="003965F2"/>
    <w:rsid w:val="00397AF8"/>
    <w:rsid w:val="003A2AF6"/>
    <w:rsid w:val="003A4508"/>
    <w:rsid w:val="003A6C37"/>
    <w:rsid w:val="003B01B2"/>
    <w:rsid w:val="003B037F"/>
    <w:rsid w:val="003B2AB9"/>
    <w:rsid w:val="003B3953"/>
    <w:rsid w:val="003B4C47"/>
    <w:rsid w:val="003B52CE"/>
    <w:rsid w:val="003B53F6"/>
    <w:rsid w:val="003B63C5"/>
    <w:rsid w:val="003B6A4F"/>
    <w:rsid w:val="003C3362"/>
    <w:rsid w:val="003C3B34"/>
    <w:rsid w:val="003C4D6A"/>
    <w:rsid w:val="003C5AC9"/>
    <w:rsid w:val="003C5B7A"/>
    <w:rsid w:val="003D13B3"/>
    <w:rsid w:val="003D2F97"/>
    <w:rsid w:val="003D50F8"/>
    <w:rsid w:val="003D557E"/>
    <w:rsid w:val="003D5AA5"/>
    <w:rsid w:val="003E309E"/>
    <w:rsid w:val="003E55A0"/>
    <w:rsid w:val="003E67E3"/>
    <w:rsid w:val="003F0B74"/>
    <w:rsid w:val="003F0E66"/>
    <w:rsid w:val="003F1893"/>
    <w:rsid w:val="003F6319"/>
    <w:rsid w:val="00400D5E"/>
    <w:rsid w:val="004030B0"/>
    <w:rsid w:val="0040451A"/>
    <w:rsid w:val="00404DBF"/>
    <w:rsid w:val="0040556F"/>
    <w:rsid w:val="004074FC"/>
    <w:rsid w:val="00407FB2"/>
    <w:rsid w:val="00407FFC"/>
    <w:rsid w:val="00413AE8"/>
    <w:rsid w:val="00416746"/>
    <w:rsid w:val="00416F7E"/>
    <w:rsid w:val="0041748F"/>
    <w:rsid w:val="00421603"/>
    <w:rsid w:val="004227CB"/>
    <w:rsid w:val="00424EFB"/>
    <w:rsid w:val="00425257"/>
    <w:rsid w:val="00425722"/>
    <w:rsid w:val="004273D6"/>
    <w:rsid w:val="00427616"/>
    <w:rsid w:val="00431AE1"/>
    <w:rsid w:val="00432216"/>
    <w:rsid w:val="004335CB"/>
    <w:rsid w:val="00435774"/>
    <w:rsid w:val="00435807"/>
    <w:rsid w:val="00440870"/>
    <w:rsid w:val="00441724"/>
    <w:rsid w:val="00443148"/>
    <w:rsid w:val="00446C3F"/>
    <w:rsid w:val="0044771B"/>
    <w:rsid w:val="00450749"/>
    <w:rsid w:val="00452D97"/>
    <w:rsid w:val="0045731C"/>
    <w:rsid w:val="004635C7"/>
    <w:rsid w:val="00464EE7"/>
    <w:rsid w:val="00464F74"/>
    <w:rsid w:val="00465262"/>
    <w:rsid w:val="004666B4"/>
    <w:rsid w:val="00467039"/>
    <w:rsid w:val="0046745C"/>
    <w:rsid w:val="0047162C"/>
    <w:rsid w:val="00474DCA"/>
    <w:rsid w:val="00477413"/>
    <w:rsid w:val="0048001F"/>
    <w:rsid w:val="004808D5"/>
    <w:rsid w:val="00481334"/>
    <w:rsid w:val="00483550"/>
    <w:rsid w:val="00483652"/>
    <w:rsid w:val="00484C99"/>
    <w:rsid w:val="00485A8D"/>
    <w:rsid w:val="00490621"/>
    <w:rsid w:val="00493401"/>
    <w:rsid w:val="00494E4C"/>
    <w:rsid w:val="00495E08"/>
    <w:rsid w:val="00496EBF"/>
    <w:rsid w:val="004975FC"/>
    <w:rsid w:val="004B1DC7"/>
    <w:rsid w:val="004B2BA9"/>
    <w:rsid w:val="004B3830"/>
    <w:rsid w:val="004B4136"/>
    <w:rsid w:val="004B4317"/>
    <w:rsid w:val="004C147B"/>
    <w:rsid w:val="004D0EEC"/>
    <w:rsid w:val="004D4A54"/>
    <w:rsid w:val="004D531E"/>
    <w:rsid w:val="004E026F"/>
    <w:rsid w:val="004E0D3E"/>
    <w:rsid w:val="004E1BB5"/>
    <w:rsid w:val="004E406C"/>
    <w:rsid w:val="004E473F"/>
    <w:rsid w:val="004E52ED"/>
    <w:rsid w:val="004E68A7"/>
    <w:rsid w:val="004E7F0C"/>
    <w:rsid w:val="004F01AF"/>
    <w:rsid w:val="004F0A3D"/>
    <w:rsid w:val="004F153D"/>
    <w:rsid w:val="004F2C31"/>
    <w:rsid w:val="004F32B6"/>
    <w:rsid w:val="004F791E"/>
    <w:rsid w:val="00507015"/>
    <w:rsid w:val="005071E4"/>
    <w:rsid w:val="00511303"/>
    <w:rsid w:val="005164CA"/>
    <w:rsid w:val="005169F6"/>
    <w:rsid w:val="00520EC6"/>
    <w:rsid w:val="00521203"/>
    <w:rsid w:val="00522793"/>
    <w:rsid w:val="00522F42"/>
    <w:rsid w:val="00524674"/>
    <w:rsid w:val="005271EF"/>
    <w:rsid w:val="005272D3"/>
    <w:rsid w:val="00527DB9"/>
    <w:rsid w:val="005306BB"/>
    <w:rsid w:val="00535DA4"/>
    <w:rsid w:val="00535F23"/>
    <w:rsid w:val="005370E5"/>
    <w:rsid w:val="00541A59"/>
    <w:rsid w:val="005420E4"/>
    <w:rsid w:val="005429D2"/>
    <w:rsid w:val="00543D87"/>
    <w:rsid w:val="00544D08"/>
    <w:rsid w:val="00546FDC"/>
    <w:rsid w:val="005541AB"/>
    <w:rsid w:val="00556812"/>
    <w:rsid w:val="005577CD"/>
    <w:rsid w:val="005621B3"/>
    <w:rsid w:val="00563AD2"/>
    <w:rsid w:val="0056529D"/>
    <w:rsid w:val="00566335"/>
    <w:rsid w:val="00572C03"/>
    <w:rsid w:val="00573223"/>
    <w:rsid w:val="0057411F"/>
    <w:rsid w:val="00576953"/>
    <w:rsid w:val="0057749A"/>
    <w:rsid w:val="00577B00"/>
    <w:rsid w:val="00580062"/>
    <w:rsid w:val="0058076B"/>
    <w:rsid w:val="00581EB5"/>
    <w:rsid w:val="00583053"/>
    <w:rsid w:val="00583069"/>
    <w:rsid w:val="005833C0"/>
    <w:rsid w:val="005834C2"/>
    <w:rsid w:val="00583BAB"/>
    <w:rsid w:val="00583EF4"/>
    <w:rsid w:val="005848FB"/>
    <w:rsid w:val="00587D9F"/>
    <w:rsid w:val="005917E2"/>
    <w:rsid w:val="00593986"/>
    <w:rsid w:val="00595103"/>
    <w:rsid w:val="005A0A00"/>
    <w:rsid w:val="005A0AC3"/>
    <w:rsid w:val="005A2E24"/>
    <w:rsid w:val="005A2EA8"/>
    <w:rsid w:val="005A4D06"/>
    <w:rsid w:val="005A7D76"/>
    <w:rsid w:val="005B444B"/>
    <w:rsid w:val="005B683C"/>
    <w:rsid w:val="005C021E"/>
    <w:rsid w:val="005C311D"/>
    <w:rsid w:val="005C3CAF"/>
    <w:rsid w:val="005C52D0"/>
    <w:rsid w:val="005C53B5"/>
    <w:rsid w:val="005C6607"/>
    <w:rsid w:val="005C77F3"/>
    <w:rsid w:val="005D000F"/>
    <w:rsid w:val="005D13EF"/>
    <w:rsid w:val="005D57A3"/>
    <w:rsid w:val="005D5FA1"/>
    <w:rsid w:val="005D6CFC"/>
    <w:rsid w:val="005D70C6"/>
    <w:rsid w:val="005D7712"/>
    <w:rsid w:val="005E20F7"/>
    <w:rsid w:val="005E308F"/>
    <w:rsid w:val="005E3D68"/>
    <w:rsid w:val="005E42DF"/>
    <w:rsid w:val="005E7DFB"/>
    <w:rsid w:val="005F2934"/>
    <w:rsid w:val="005F4AF2"/>
    <w:rsid w:val="006001F6"/>
    <w:rsid w:val="00601B9F"/>
    <w:rsid w:val="0061240C"/>
    <w:rsid w:val="00612433"/>
    <w:rsid w:val="006126AF"/>
    <w:rsid w:val="00616E4B"/>
    <w:rsid w:val="00616EF7"/>
    <w:rsid w:val="00616F81"/>
    <w:rsid w:val="00616FF4"/>
    <w:rsid w:val="006206B8"/>
    <w:rsid w:val="00620E1A"/>
    <w:rsid w:val="0062115C"/>
    <w:rsid w:val="0062134D"/>
    <w:rsid w:val="00621D88"/>
    <w:rsid w:val="00622B55"/>
    <w:rsid w:val="0063156D"/>
    <w:rsid w:val="00632609"/>
    <w:rsid w:val="00632C65"/>
    <w:rsid w:val="0063364F"/>
    <w:rsid w:val="00635C39"/>
    <w:rsid w:val="00637D5C"/>
    <w:rsid w:val="00641AA9"/>
    <w:rsid w:val="00642DCC"/>
    <w:rsid w:val="00644A21"/>
    <w:rsid w:val="00644E31"/>
    <w:rsid w:val="00647FEF"/>
    <w:rsid w:val="00650371"/>
    <w:rsid w:val="00650D85"/>
    <w:rsid w:val="00651290"/>
    <w:rsid w:val="00651EC7"/>
    <w:rsid w:val="00652088"/>
    <w:rsid w:val="00654722"/>
    <w:rsid w:val="00654923"/>
    <w:rsid w:val="0065515B"/>
    <w:rsid w:val="00656455"/>
    <w:rsid w:val="00656DEF"/>
    <w:rsid w:val="0066058A"/>
    <w:rsid w:val="00662DF0"/>
    <w:rsid w:val="00663B06"/>
    <w:rsid w:val="0066410C"/>
    <w:rsid w:val="00664CBA"/>
    <w:rsid w:val="00670676"/>
    <w:rsid w:val="006711C3"/>
    <w:rsid w:val="00671DFE"/>
    <w:rsid w:val="00672F63"/>
    <w:rsid w:val="00673797"/>
    <w:rsid w:val="00674006"/>
    <w:rsid w:val="00675999"/>
    <w:rsid w:val="00677EC6"/>
    <w:rsid w:val="0068146C"/>
    <w:rsid w:val="0069050A"/>
    <w:rsid w:val="00692FA2"/>
    <w:rsid w:val="00694AED"/>
    <w:rsid w:val="0069600D"/>
    <w:rsid w:val="00696B1C"/>
    <w:rsid w:val="006A0565"/>
    <w:rsid w:val="006A05BC"/>
    <w:rsid w:val="006A1FC2"/>
    <w:rsid w:val="006A3E03"/>
    <w:rsid w:val="006A4158"/>
    <w:rsid w:val="006B036B"/>
    <w:rsid w:val="006B18A7"/>
    <w:rsid w:val="006B1976"/>
    <w:rsid w:val="006B3212"/>
    <w:rsid w:val="006B69EB"/>
    <w:rsid w:val="006B6B74"/>
    <w:rsid w:val="006B6EEA"/>
    <w:rsid w:val="006B7012"/>
    <w:rsid w:val="006C0748"/>
    <w:rsid w:val="006C20B7"/>
    <w:rsid w:val="006C2A21"/>
    <w:rsid w:val="006C2D14"/>
    <w:rsid w:val="006C366C"/>
    <w:rsid w:val="006C5892"/>
    <w:rsid w:val="006C59DD"/>
    <w:rsid w:val="006C5C48"/>
    <w:rsid w:val="006D42BB"/>
    <w:rsid w:val="006D47A3"/>
    <w:rsid w:val="006D4ADE"/>
    <w:rsid w:val="006E1FA9"/>
    <w:rsid w:val="006E2714"/>
    <w:rsid w:val="006F00E6"/>
    <w:rsid w:val="006F0871"/>
    <w:rsid w:val="006F14A1"/>
    <w:rsid w:val="006F31A8"/>
    <w:rsid w:val="006F332C"/>
    <w:rsid w:val="006F4B30"/>
    <w:rsid w:val="006F78D7"/>
    <w:rsid w:val="00700ED1"/>
    <w:rsid w:val="00702177"/>
    <w:rsid w:val="00706640"/>
    <w:rsid w:val="00706C03"/>
    <w:rsid w:val="00710933"/>
    <w:rsid w:val="0071252B"/>
    <w:rsid w:val="00714FB3"/>
    <w:rsid w:val="00715E4C"/>
    <w:rsid w:val="00716FAA"/>
    <w:rsid w:val="00722187"/>
    <w:rsid w:val="00725B34"/>
    <w:rsid w:val="00725B61"/>
    <w:rsid w:val="00727D46"/>
    <w:rsid w:val="00732D95"/>
    <w:rsid w:val="0073585D"/>
    <w:rsid w:val="00736E37"/>
    <w:rsid w:val="0073739D"/>
    <w:rsid w:val="007377B0"/>
    <w:rsid w:val="007407D1"/>
    <w:rsid w:val="00741470"/>
    <w:rsid w:val="007420EB"/>
    <w:rsid w:val="00743DAE"/>
    <w:rsid w:val="00746BBE"/>
    <w:rsid w:val="00747B03"/>
    <w:rsid w:val="00750BD3"/>
    <w:rsid w:val="00753F62"/>
    <w:rsid w:val="00756F02"/>
    <w:rsid w:val="00763583"/>
    <w:rsid w:val="0076509C"/>
    <w:rsid w:val="00765881"/>
    <w:rsid w:val="00771D4E"/>
    <w:rsid w:val="00773E42"/>
    <w:rsid w:val="00775567"/>
    <w:rsid w:val="0078031A"/>
    <w:rsid w:val="00781662"/>
    <w:rsid w:val="00781A44"/>
    <w:rsid w:val="00781DA8"/>
    <w:rsid w:val="007824AF"/>
    <w:rsid w:val="00783FB7"/>
    <w:rsid w:val="0078470C"/>
    <w:rsid w:val="007848CC"/>
    <w:rsid w:val="00786308"/>
    <w:rsid w:val="007924A9"/>
    <w:rsid w:val="00797444"/>
    <w:rsid w:val="00797C5C"/>
    <w:rsid w:val="007A0A61"/>
    <w:rsid w:val="007A0AA5"/>
    <w:rsid w:val="007A20F0"/>
    <w:rsid w:val="007A41DD"/>
    <w:rsid w:val="007A45A1"/>
    <w:rsid w:val="007A6625"/>
    <w:rsid w:val="007A7423"/>
    <w:rsid w:val="007B06F9"/>
    <w:rsid w:val="007B08BF"/>
    <w:rsid w:val="007B3E4E"/>
    <w:rsid w:val="007B481E"/>
    <w:rsid w:val="007B4B2A"/>
    <w:rsid w:val="007B5341"/>
    <w:rsid w:val="007B5BE7"/>
    <w:rsid w:val="007C0382"/>
    <w:rsid w:val="007C12F0"/>
    <w:rsid w:val="007C56BF"/>
    <w:rsid w:val="007D0606"/>
    <w:rsid w:val="007D1CBF"/>
    <w:rsid w:val="007D5734"/>
    <w:rsid w:val="007D5CE0"/>
    <w:rsid w:val="007D6622"/>
    <w:rsid w:val="007D6AD1"/>
    <w:rsid w:val="007E103A"/>
    <w:rsid w:val="007E2D95"/>
    <w:rsid w:val="007E306D"/>
    <w:rsid w:val="007E38F2"/>
    <w:rsid w:val="007E5014"/>
    <w:rsid w:val="007E6F46"/>
    <w:rsid w:val="007E7635"/>
    <w:rsid w:val="007F092B"/>
    <w:rsid w:val="007F3D99"/>
    <w:rsid w:val="007F74BC"/>
    <w:rsid w:val="00800A0F"/>
    <w:rsid w:val="00802AEC"/>
    <w:rsid w:val="00802D60"/>
    <w:rsid w:val="00804BD2"/>
    <w:rsid w:val="00805C9E"/>
    <w:rsid w:val="00806B26"/>
    <w:rsid w:val="00807472"/>
    <w:rsid w:val="00810871"/>
    <w:rsid w:val="00810B37"/>
    <w:rsid w:val="008122D1"/>
    <w:rsid w:val="00813530"/>
    <w:rsid w:val="00816160"/>
    <w:rsid w:val="00821A15"/>
    <w:rsid w:val="008226F3"/>
    <w:rsid w:val="008240FD"/>
    <w:rsid w:val="00831066"/>
    <w:rsid w:val="008350F1"/>
    <w:rsid w:val="0083594A"/>
    <w:rsid w:val="00836DB3"/>
    <w:rsid w:val="0083793F"/>
    <w:rsid w:val="00841061"/>
    <w:rsid w:val="0084145B"/>
    <w:rsid w:val="00841598"/>
    <w:rsid w:val="008422F2"/>
    <w:rsid w:val="008503FD"/>
    <w:rsid w:val="008505AB"/>
    <w:rsid w:val="00850804"/>
    <w:rsid w:val="00851B92"/>
    <w:rsid w:val="0085407D"/>
    <w:rsid w:val="00854098"/>
    <w:rsid w:val="008561A5"/>
    <w:rsid w:val="00856E69"/>
    <w:rsid w:val="0085707F"/>
    <w:rsid w:val="00857F1C"/>
    <w:rsid w:val="00861182"/>
    <w:rsid w:val="00863AE7"/>
    <w:rsid w:val="00863F50"/>
    <w:rsid w:val="00871A44"/>
    <w:rsid w:val="00872A23"/>
    <w:rsid w:val="00875882"/>
    <w:rsid w:val="008818BC"/>
    <w:rsid w:val="00882CAB"/>
    <w:rsid w:val="00885FC6"/>
    <w:rsid w:val="00891942"/>
    <w:rsid w:val="00891DD1"/>
    <w:rsid w:val="00891F51"/>
    <w:rsid w:val="008921E6"/>
    <w:rsid w:val="00893B93"/>
    <w:rsid w:val="00895641"/>
    <w:rsid w:val="00897F13"/>
    <w:rsid w:val="008A0916"/>
    <w:rsid w:val="008A27DA"/>
    <w:rsid w:val="008A28D0"/>
    <w:rsid w:val="008A3344"/>
    <w:rsid w:val="008A3B4A"/>
    <w:rsid w:val="008A4028"/>
    <w:rsid w:val="008A40CB"/>
    <w:rsid w:val="008B1F77"/>
    <w:rsid w:val="008B32C5"/>
    <w:rsid w:val="008B5652"/>
    <w:rsid w:val="008B5B63"/>
    <w:rsid w:val="008B5DC2"/>
    <w:rsid w:val="008B775B"/>
    <w:rsid w:val="008C06C2"/>
    <w:rsid w:val="008C6BC3"/>
    <w:rsid w:val="008D3C15"/>
    <w:rsid w:val="008D59B9"/>
    <w:rsid w:val="008D5DFA"/>
    <w:rsid w:val="008D78D3"/>
    <w:rsid w:val="008E0212"/>
    <w:rsid w:val="008E059A"/>
    <w:rsid w:val="008E2AE5"/>
    <w:rsid w:val="008E62EA"/>
    <w:rsid w:val="008E7309"/>
    <w:rsid w:val="008F03A1"/>
    <w:rsid w:val="008F1E12"/>
    <w:rsid w:val="008F3386"/>
    <w:rsid w:val="008F3705"/>
    <w:rsid w:val="008F66B7"/>
    <w:rsid w:val="008F7D3A"/>
    <w:rsid w:val="00901584"/>
    <w:rsid w:val="009060B1"/>
    <w:rsid w:val="009228F4"/>
    <w:rsid w:val="0092557D"/>
    <w:rsid w:val="00927ABB"/>
    <w:rsid w:val="009329B0"/>
    <w:rsid w:val="00933480"/>
    <w:rsid w:val="00933D0F"/>
    <w:rsid w:val="009344F5"/>
    <w:rsid w:val="00940F52"/>
    <w:rsid w:val="00941568"/>
    <w:rsid w:val="00945640"/>
    <w:rsid w:val="00946969"/>
    <w:rsid w:val="00950665"/>
    <w:rsid w:val="009530CF"/>
    <w:rsid w:val="009538CE"/>
    <w:rsid w:val="00953D6C"/>
    <w:rsid w:val="00955057"/>
    <w:rsid w:val="00955BB1"/>
    <w:rsid w:val="00955DD6"/>
    <w:rsid w:val="00960ACF"/>
    <w:rsid w:val="0096279C"/>
    <w:rsid w:val="0096322A"/>
    <w:rsid w:val="00965CD1"/>
    <w:rsid w:val="00967334"/>
    <w:rsid w:val="009701F7"/>
    <w:rsid w:val="00975F58"/>
    <w:rsid w:val="009771FD"/>
    <w:rsid w:val="00981092"/>
    <w:rsid w:val="00981BB5"/>
    <w:rsid w:val="00983BB7"/>
    <w:rsid w:val="00983F04"/>
    <w:rsid w:val="009858F4"/>
    <w:rsid w:val="0098611A"/>
    <w:rsid w:val="00991D1A"/>
    <w:rsid w:val="009955E4"/>
    <w:rsid w:val="00995E90"/>
    <w:rsid w:val="00996374"/>
    <w:rsid w:val="009A5781"/>
    <w:rsid w:val="009A5AC0"/>
    <w:rsid w:val="009B301B"/>
    <w:rsid w:val="009B4973"/>
    <w:rsid w:val="009B5605"/>
    <w:rsid w:val="009B7F88"/>
    <w:rsid w:val="009C1516"/>
    <w:rsid w:val="009C4FAE"/>
    <w:rsid w:val="009C5C14"/>
    <w:rsid w:val="009C685E"/>
    <w:rsid w:val="009C7FDB"/>
    <w:rsid w:val="009D078E"/>
    <w:rsid w:val="009D1DA7"/>
    <w:rsid w:val="009D252E"/>
    <w:rsid w:val="009D2BB9"/>
    <w:rsid w:val="009D35BC"/>
    <w:rsid w:val="009D44DC"/>
    <w:rsid w:val="009D5A75"/>
    <w:rsid w:val="009D6AE5"/>
    <w:rsid w:val="009E042C"/>
    <w:rsid w:val="009E11A2"/>
    <w:rsid w:val="009E1DE5"/>
    <w:rsid w:val="009E33E8"/>
    <w:rsid w:val="009E3451"/>
    <w:rsid w:val="009E47D9"/>
    <w:rsid w:val="009F24CD"/>
    <w:rsid w:val="009F56A2"/>
    <w:rsid w:val="00A034CC"/>
    <w:rsid w:val="00A04013"/>
    <w:rsid w:val="00A04196"/>
    <w:rsid w:val="00A04C25"/>
    <w:rsid w:val="00A0519D"/>
    <w:rsid w:val="00A10A15"/>
    <w:rsid w:val="00A114AA"/>
    <w:rsid w:val="00A12274"/>
    <w:rsid w:val="00A138AA"/>
    <w:rsid w:val="00A15042"/>
    <w:rsid w:val="00A15BCF"/>
    <w:rsid w:val="00A165D9"/>
    <w:rsid w:val="00A17734"/>
    <w:rsid w:val="00A22921"/>
    <w:rsid w:val="00A256E9"/>
    <w:rsid w:val="00A26D2F"/>
    <w:rsid w:val="00A2709B"/>
    <w:rsid w:val="00A27512"/>
    <w:rsid w:val="00A303D3"/>
    <w:rsid w:val="00A337D5"/>
    <w:rsid w:val="00A33A63"/>
    <w:rsid w:val="00A36E55"/>
    <w:rsid w:val="00A41B21"/>
    <w:rsid w:val="00A425F1"/>
    <w:rsid w:val="00A42DF3"/>
    <w:rsid w:val="00A44AD1"/>
    <w:rsid w:val="00A450FE"/>
    <w:rsid w:val="00A51B88"/>
    <w:rsid w:val="00A56C63"/>
    <w:rsid w:val="00A56FE5"/>
    <w:rsid w:val="00A606D9"/>
    <w:rsid w:val="00A6287C"/>
    <w:rsid w:val="00A67C84"/>
    <w:rsid w:val="00A70698"/>
    <w:rsid w:val="00A74200"/>
    <w:rsid w:val="00A743DB"/>
    <w:rsid w:val="00A756D4"/>
    <w:rsid w:val="00A779DF"/>
    <w:rsid w:val="00A825E1"/>
    <w:rsid w:val="00A832DE"/>
    <w:rsid w:val="00A84344"/>
    <w:rsid w:val="00A866FC"/>
    <w:rsid w:val="00A90276"/>
    <w:rsid w:val="00A90DB6"/>
    <w:rsid w:val="00A915DE"/>
    <w:rsid w:val="00A91CC0"/>
    <w:rsid w:val="00A91FF6"/>
    <w:rsid w:val="00A941D8"/>
    <w:rsid w:val="00A95650"/>
    <w:rsid w:val="00A959F2"/>
    <w:rsid w:val="00A96339"/>
    <w:rsid w:val="00AA020E"/>
    <w:rsid w:val="00AA2BD2"/>
    <w:rsid w:val="00AB2891"/>
    <w:rsid w:val="00AB445C"/>
    <w:rsid w:val="00AB4C02"/>
    <w:rsid w:val="00AB7529"/>
    <w:rsid w:val="00AC1CF2"/>
    <w:rsid w:val="00AC233A"/>
    <w:rsid w:val="00AC2E5D"/>
    <w:rsid w:val="00AC3DFC"/>
    <w:rsid w:val="00AC4C40"/>
    <w:rsid w:val="00AC4DA8"/>
    <w:rsid w:val="00AC4E94"/>
    <w:rsid w:val="00AC69D1"/>
    <w:rsid w:val="00AC7D50"/>
    <w:rsid w:val="00AD0F86"/>
    <w:rsid w:val="00AD5963"/>
    <w:rsid w:val="00AD66F7"/>
    <w:rsid w:val="00AD6BA3"/>
    <w:rsid w:val="00AF04C2"/>
    <w:rsid w:val="00AF4BBE"/>
    <w:rsid w:val="00AF5204"/>
    <w:rsid w:val="00AF7D3F"/>
    <w:rsid w:val="00B00A6D"/>
    <w:rsid w:val="00B01447"/>
    <w:rsid w:val="00B02274"/>
    <w:rsid w:val="00B02E8A"/>
    <w:rsid w:val="00B04719"/>
    <w:rsid w:val="00B070BF"/>
    <w:rsid w:val="00B07249"/>
    <w:rsid w:val="00B1091A"/>
    <w:rsid w:val="00B11005"/>
    <w:rsid w:val="00B15D58"/>
    <w:rsid w:val="00B16682"/>
    <w:rsid w:val="00B17BC8"/>
    <w:rsid w:val="00B219D9"/>
    <w:rsid w:val="00B26192"/>
    <w:rsid w:val="00B30A3C"/>
    <w:rsid w:val="00B30A66"/>
    <w:rsid w:val="00B3177E"/>
    <w:rsid w:val="00B3267E"/>
    <w:rsid w:val="00B3758F"/>
    <w:rsid w:val="00B40E44"/>
    <w:rsid w:val="00B42B57"/>
    <w:rsid w:val="00B54EA1"/>
    <w:rsid w:val="00B5699C"/>
    <w:rsid w:val="00B62672"/>
    <w:rsid w:val="00B62D81"/>
    <w:rsid w:val="00B6497A"/>
    <w:rsid w:val="00B66273"/>
    <w:rsid w:val="00B70F8A"/>
    <w:rsid w:val="00B7145A"/>
    <w:rsid w:val="00B72108"/>
    <w:rsid w:val="00B75D7D"/>
    <w:rsid w:val="00B76730"/>
    <w:rsid w:val="00B769D4"/>
    <w:rsid w:val="00B808CD"/>
    <w:rsid w:val="00B840A2"/>
    <w:rsid w:val="00B85416"/>
    <w:rsid w:val="00B86311"/>
    <w:rsid w:val="00B91F53"/>
    <w:rsid w:val="00B931DF"/>
    <w:rsid w:val="00B93A00"/>
    <w:rsid w:val="00B96AD5"/>
    <w:rsid w:val="00BA0F4E"/>
    <w:rsid w:val="00BA1A2C"/>
    <w:rsid w:val="00BA1B2A"/>
    <w:rsid w:val="00BA3F0A"/>
    <w:rsid w:val="00BA6E5D"/>
    <w:rsid w:val="00BA7B1D"/>
    <w:rsid w:val="00BB09AF"/>
    <w:rsid w:val="00BB7951"/>
    <w:rsid w:val="00BC0BD6"/>
    <w:rsid w:val="00BC235A"/>
    <w:rsid w:val="00BC23A7"/>
    <w:rsid w:val="00BC2BE7"/>
    <w:rsid w:val="00BC4599"/>
    <w:rsid w:val="00BD0ED9"/>
    <w:rsid w:val="00BD433C"/>
    <w:rsid w:val="00BE1DC3"/>
    <w:rsid w:val="00BE1E9D"/>
    <w:rsid w:val="00BE4FB0"/>
    <w:rsid w:val="00BE6F47"/>
    <w:rsid w:val="00BE76D1"/>
    <w:rsid w:val="00BF0BBF"/>
    <w:rsid w:val="00BF1FB2"/>
    <w:rsid w:val="00BF259C"/>
    <w:rsid w:val="00BF25C4"/>
    <w:rsid w:val="00BF4984"/>
    <w:rsid w:val="00BF588D"/>
    <w:rsid w:val="00BF5B57"/>
    <w:rsid w:val="00BF6070"/>
    <w:rsid w:val="00BF6795"/>
    <w:rsid w:val="00BF7306"/>
    <w:rsid w:val="00BF7659"/>
    <w:rsid w:val="00C015E3"/>
    <w:rsid w:val="00C03868"/>
    <w:rsid w:val="00C0389C"/>
    <w:rsid w:val="00C05205"/>
    <w:rsid w:val="00C10FFE"/>
    <w:rsid w:val="00C16632"/>
    <w:rsid w:val="00C20548"/>
    <w:rsid w:val="00C21306"/>
    <w:rsid w:val="00C22BF8"/>
    <w:rsid w:val="00C24EB0"/>
    <w:rsid w:val="00C26E19"/>
    <w:rsid w:val="00C276EB"/>
    <w:rsid w:val="00C33AE6"/>
    <w:rsid w:val="00C35D12"/>
    <w:rsid w:val="00C36973"/>
    <w:rsid w:val="00C3779D"/>
    <w:rsid w:val="00C37841"/>
    <w:rsid w:val="00C4218F"/>
    <w:rsid w:val="00C42522"/>
    <w:rsid w:val="00C42B57"/>
    <w:rsid w:val="00C45BA0"/>
    <w:rsid w:val="00C46594"/>
    <w:rsid w:val="00C526D8"/>
    <w:rsid w:val="00C5403E"/>
    <w:rsid w:val="00C55CEB"/>
    <w:rsid w:val="00C56589"/>
    <w:rsid w:val="00C57168"/>
    <w:rsid w:val="00C64C3E"/>
    <w:rsid w:val="00C803E7"/>
    <w:rsid w:val="00C826A1"/>
    <w:rsid w:val="00C83A22"/>
    <w:rsid w:val="00C83DDB"/>
    <w:rsid w:val="00C873BC"/>
    <w:rsid w:val="00C87B43"/>
    <w:rsid w:val="00C90869"/>
    <w:rsid w:val="00C908BC"/>
    <w:rsid w:val="00C9792D"/>
    <w:rsid w:val="00CA3529"/>
    <w:rsid w:val="00CA4756"/>
    <w:rsid w:val="00CA50C9"/>
    <w:rsid w:val="00CA54D1"/>
    <w:rsid w:val="00CA5D81"/>
    <w:rsid w:val="00CA7DE1"/>
    <w:rsid w:val="00CB321C"/>
    <w:rsid w:val="00CB3285"/>
    <w:rsid w:val="00CB41B4"/>
    <w:rsid w:val="00CB5193"/>
    <w:rsid w:val="00CB54C0"/>
    <w:rsid w:val="00CB65BA"/>
    <w:rsid w:val="00CC01F8"/>
    <w:rsid w:val="00CC040D"/>
    <w:rsid w:val="00CC78BF"/>
    <w:rsid w:val="00CD0F8D"/>
    <w:rsid w:val="00CD4057"/>
    <w:rsid w:val="00CD5704"/>
    <w:rsid w:val="00CD6C54"/>
    <w:rsid w:val="00CD7707"/>
    <w:rsid w:val="00CE3875"/>
    <w:rsid w:val="00CE43C8"/>
    <w:rsid w:val="00CE4BA7"/>
    <w:rsid w:val="00CE6A2C"/>
    <w:rsid w:val="00CF758C"/>
    <w:rsid w:val="00D001D9"/>
    <w:rsid w:val="00D00757"/>
    <w:rsid w:val="00D01F70"/>
    <w:rsid w:val="00D038D8"/>
    <w:rsid w:val="00D03A91"/>
    <w:rsid w:val="00D06800"/>
    <w:rsid w:val="00D1324D"/>
    <w:rsid w:val="00D14E8B"/>
    <w:rsid w:val="00D16916"/>
    <w:rsid w:val="00D17A24"/>
    <w:rsid w:val="00D30C1A"/>
    <w:rsid w:val="00D350D7"/>
    <w:rsid w:val="00D416AF"/>
    <w:rsid w:val="00D42D98"/>
    <w:rsid w:val="00D45916"/>
    <w:rsid w:val="00D46708"/>
    <w:rsid w:val="00D50DC3"/>
    <w:rsid w:val="00D51D14"/>
    <w:rsid w:val="00D53135"/>
    <w:rsid w:val="00D53F04"/>
    <w:rsid w:val="00D56767"/>
    <w:rsid w:val="00D56BFC"/>
    <w:rsid w:val="00D62EA6"/>
    <w:rsid w:val="00D633E8"/>
    <w:rsid w:val="00D64879"/>
    <w:rsid w:val="00D671B1"/>
    <w:rsid w:val="00D72E0D"/>
    <w:rsid w:val="00D73AB6"/>
    <w:rsid w:val="00D74554"/>
    <w:rsid w:val="00D77977"/>
    <w:rsid w:val="00D77FE7"/>
    <w:rsid w:val="00D80BE8"/>
    <w:rsid w:val="00D8301B"/>
    <w:rsid w:val="00D84087"/>
    <w:rsid w:val="00D85EBA"/>
    <w:rsid w:val="00D862FD"/>
    <w:rsid w:val="00D9286F"/>
    <w:rsid w:val="00D930CC"/>
    <w:rsid w:val="00D9702C"/>
    <w:rsid w:val="00D972E3"/>
    <w:rsid w:val="00D975B5"/>
    <w:rsid w:val="00DA29B1"/>
    <w:rsid w:val="00DA3AD9"/>
    <w:rsid w:val="00DA4FE9"/>
    <w:rsid w:val="00DA7119"/>
    <w:rsid w:val="00DA7F80"/>
    <w:rsid w:val="00DB0D3A"/>
    <w:rsid w:val="00DB1B55"/>
    <w:rsid w:val="00DB1C58"/>
    <w:rsid w:val="00DB53E7"/>
    <w:rsid w:val="00DC1549"/>
    <w:rsid w:val="00DC2229"/>
    <w:rsid w:val="00DC5CFD"/>
    <w:rsid w:val="00DC6F9F"/>
    <w:rsid w:val="00DD0DC5"/>
    <w:rsid w:val="00DD4634"/>
    <w:rsid w:val="00DE057D"/>
    <w:rsid w:val="00DE1449"/>
    <w:rsid w:val="00DE1825"/>
    <w:rsid w:val="00DE37EC"/>
    <w:rsid w:val="00DE6216"/>
    <w:rsid w:val="00DF2C56"/>
    <w:rsid w:val="00DF2E7F"/>
    <w:rsid w:val="00DF2FB3"/>
    <w:rsid w:val="00DF309F"/>
    <w:rsid w:val="00DF343F"/>
    <w:rsid w:val="00DF575A"/>
    <w:rsid w:val="00DF6CD8"/>
    <w:rsid w:val="00DF6EAE"/>
    <w:rsid w:val="00DF7852"/>
    <w:rsid w:val="00E00D1D"/>
    <w:rsid w:val="00E03A5D"/>
    <w:rsid w:val="00E05450"/>
    <w:rsid w:val="00E0569D"/>
    <w:rsid w:val="00E06B41"/>
    <w:rsid w:val="00E06B92"/>
    <w:rsid w:val="00E07CBE"/>
    <w:rsid w:val="00E12520"/>
    <w:rsid w:val="00E23176"/>
    <w:rsid w:val="00E245F3"/>
    <w:rsid w:val="00E247ED"/>
    <w:rsid w:val="00E24842"/>
    <w:rsid w:val="00E24B46"/>
    <w:rsid w:val="00E26F58"/>
    <w:rsid w:val="00E27511"/>
    <w:rsid w:val="00E32D98"/>
    <w:rsid w:val="00E35905"/>
    <w:rsid w:val="00E37E81"/>
    <w:rsid w:val="00E40FC2"/>
    <w:rsid w:val="00E41730"/>
    <w:rsid w:val="00E41DEC"/>
    <w:rsid w:val="00E41EA2"/>
    <w:rsid w:val="00E44B0B"/>
    <w:rsid w:val="00E4760D"/>
    <w:rsid w:val="00E508F8"/>
    <w:rsid w:val="00E50C5A"/>
    <w:rsid w:val="00E5186E"/>
    <w:rsid w:val="00E52710"/>
    <w:rsid w:val="00E52B0D"/>
    <w:rsid w:val="00E567AF"/>
    <w:rsid w:val="00E71FEC"/>
    <w:rsid w:val="00E73A0E"/>
    <w:rsid w:val="00E73A82"/>
    <w:rsid w:val="00E74AB3"/>
    <w:rsid w:val="00E74BEC"/>
    <w:rsid w:val="00E753AA"/>
    <w:rsid w:val="00E75754"/>
    <w:rsid w:val="00E75D2A"/>
    <w:rsid w:val="00E760DB"/>
    <w:rsid w:val="00E765F0"/>
    <w:rsid w:val="00E817C1"/>
    <w:rsid w:val="00E81FD9"/>
    <w:rsid w:val="00E831A8"/>
    <w:rsid w:val="00E83BC0"/>
    <w:rsid w:val="00E849B3"/>
    <w:rsid w:val="00E87217"/>
    <w:rsid w:val="00E87A2E"/>
    <w:rsid w:val="00E9060A"/>
    <w:rsid w:val="00E9424A"/>
    <w:rsid w:val="00E95FA3"/>
    <w:rsid w:val="00E96D43"/>
    <w:rsid w:val="00E97C4D"/>
    <w:rsid w:val="00E97E10"/>
    <w:rsid w:val="00EA1578"/>
    <w:rsid w:val="00EA201A"/>
    <w:rsid w:val="00EA2BED"/>
    <w:rsid w:val="00EA466C"/>
    <w:rsid w:val="00EA6B7A"/>
    <w:rsid w:val="00EB4C69"/>
    <w:rsid w:val="00EB4F8B"/>
    <w:rsid w:val="00EB4FDE"/>
    <w:rsid w:val="00EB664F"/>
    <w:rsid w:val="00EC1F4C"/>
    <w:rsid w:val="00EC20C2"/>
    <w:rsid w:val="00EC3A68"/>
    <w:rsid w:val="00EC42C6"/>
    <w:rsid w:val="00EC6CB0"/>
    <w:rsid w:val="00ED229A"/>
    <w:rsid w:val="00ED2A53"/>
    <w:rsid w:val="00ED7A0B"/>
    <w:rsid w:val="00EE14A1"/>
    <w:rsid w:val="00EE581D"/>
    <w:rsid w:val="00EE6797"/>
    <w:rsid w:val="00EF01EA"/>
    <w:rsid w:val="00EF3081"/>
    <w:rsid w:val="00EF5812"/>
    <w:rsid w:val="00EF667C"/>
    <w:rsid w:val="00F008DC"/>
    <w:rsid w:val="00F0450E"/>
    <w:rsid w:val="00F12054"/>
    <w:rsid w:val="00F1598F"/>
    <w:rsid w:val="00F22039"/>
    <w:rsid w:val="00F22357"/>
    <w:rsid w:val="00F2371E"/>
    <w:rsid w:val="00F239E1"/>
    <w:rsid w:val="00F23A8B"/>
    <w:rsid w:val="00F24512"/>
    <w:rsid w:val="00F248C8"/>
    <w:rsid w:val="00F2633F"/>
    <w:rsid w:val="00F31638"/>
    <w:rsid w:val="00F31E7C"/>
    <w:rsid w:val="00F326E6"/>
    <w:rsid w:val="00F3377C"/>
    <w:rsid w:val="00F342F6"/>
    <w:rsid w:val="00F346AF"/>
    <w:rsid w:val="00F351F4"/>
    <w:rsid w:val="00F35987"/>
    <w:rsid w:val="00F371EB"/>
    <w:rsid w:val="00F37539"/>
    <w:rsid w:val="00F4119F"/>
    <w:rsid w:val="00F42FA1"/>
    <w:rsid w:val="00F433CB"/>
    <w:rsid w:val="00F45408"/>
    <w:rsid w:val="00F52FBE"/>
    <w:rsid w:val="00F62868"/>
    <w:rsid w:val="00F65346"/>
    <w:rsid w:val="00F6591B"/>
    <w:rsid w:val="00F65B19"/>
    <w:rsid w:val="00F7139B"/>
    <w:rsid w:val="00F73D30"/>
    <w:rsid w:val="00F75B41"/>
    <w:rsid w:val="00F77CC5"/>
    <w:rsid w:val="00F80A28"/>
    <w:rsid w:val="00F81102"/>
    <w:rsid w:val="00F83CE5"/>
    <w:rsid w:val="00F84E35"/>
    <w:rsid w:val="00F85032"/>
    <w:rsid w:val="00F8596D"/>
    <w:rsid w:val="00F86D8B"/>
    <w:rsid w:val="00F9179E"/>
    <w:rsid w:val="00FA13A0"/>
    <w:rsid w:val="00FA2F65"/>
    <w:rsid w:val="00FA328C"/>
    <w:rsid w:val="00FB1D76"/>
    <w:rsid w:val="00FB1FAA"/>
    <w:rsid w:val="00FB6E31"/>
    <w:rsid w:val="00FB7822"/>
    <w:rsid w:val="00FC0B95"/>
    <w:rsid w:val="00FC1CBE"/>
    <w:rsid w:val="00FC1E6E"/>
    <w:rsid w:val="00FC3486"/>
    <w:rsid w:val="00FC3E63"/>
    <w:rsid w:val="00FC40E6"/>
    <w:rsid w:val="00FC45D8"/>
    <w:rsid w:val="00FC4E9C"/>
    <w:rsid w:val="00FD1C58"/>
    <w:rsid w:val="00FD25E8"/>
    <w:rsid w:val="00FD3B5C"/>
    <w:rsid w:val="00FE01FC"/>
    <w:rsid w:val="00FE0C46"/>
    <w:rsid w:val="00FE1927"/>
    <w:rsid w:val="00FF339C"/>
    <w:rsid w:val="00FF5B16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6308"/>
    <w:pPr>
      <w:spacing w:before="100" w:beforeAutospacing="1" w:after="90" w:line="630" w:lineRule="atLeast"/>
      <w:outlineLvl w:val="0"/>
    </w:pPr>
    <w:rPr>
      <w:rFonts w:ascii="Times New Roman" w:eastAsia="Times New Roman" w:hAnsi="Times New Roman" w:cs="Times New Roman"/>
      <w:color w:val="333333"/>
      <w:kern w:val="36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574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EE"/>
  </w:style>
  <w:style w:type="paragraph" w:styleId="Footer">
    <w:name w:val="footer"/>
    <w:basedOn w:val="Normal"/>
    <w:link w:val="FooterChar"/>
    <w:uiPriority w:val="99"/>
    <w:unhideWhenUsed/>
    <w:rsid w:val="000D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EE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425257"/>
  </w:style>
  <w:style w:type="paragraph" w:styleId="NoSpacing">
    <w:name w:val="No Spacing"/>
    <w:link w:val="NoSpacingChar"/>
    <w:uiPriority w:val="1"/>
    <w:qFormat/>
    <w:rsid w:val="00621D8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BB7951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9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79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FE"/>
    <w:rPr>
      <w:b/>
      <w:bCs/>
      <w:sz w:val="20"/>
      <w:szCs w:val="20"/>
    </w:rPr>
  </w:style>
  <w:style w:type="paragraph" w:customStyle="1" w:styleId="Default">
    <w:name w:val="Default"/>
    <w:rsid w:val="001C0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3585D"/>
  </w:style>
  <w:style w:type="paragraph" w:styleId="NormalWeb">
    <w:name w:val="Normal (Web)"/>
    <w:basedOn w:val="Normal"/>
    <w:uiPriority w:val="99"/>
    <w:semiHidden/>
    <w:unhideWhenUsed/>
    <w:rsid w:val="00A9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279C"/>
    <w:rPr>
      <w:color w:val="0563C1" w:themeColor="hyperlink"/>
      <w:u w:val="single"/>
    </w:rPr>
  </w:style>
  <w:style w:type="character" w:customStyle="1" w:styleId="e24kjd">
    <w:name w:val="e24kjd"/>
    <w:basedOn w:val="DefaultParagraphFont"/>
    <w:rsid w:val="00511303"/>
  </w:style>
  <w:style w:type="character" w:customStyle="1" w:styleId="st1">
    <w:name w:val="st1"/>
    <w:basedOn w:val="DefaultParagraphFont"/>
    <w:rsid w:val="00F75B41"/>
  </w:style>
  <w:style w:type="character" w:customStyle="1" w:styleId="Heading1Char">
    <w:name w:val="Heading 1 Char"/>
    <w:basedOn w:val="DefaultParagraphFont"/>
    <w:link w:val="Heading1"/>
    <w:uiPriority w:val="9"/>
    <w:rsid w:val="00786308"/>
    <w:rPr>
      <w:rFonts w:ascii="Times New Roman" w:eastAsia="Times New Roman" w:hAnsi="Times New Roman" w:cs="Times New Roman"/>
      <w:color w:val="333333"/>
      <w:kern w:val="36"/>
      <w:sz w:val="54"/>
      <w:szCs w:val="54"/>
      <w:lang w:eastAsia="en-GB"/>
    </w:rPr>
  </w:style>
  <w:style w:type="paragraph" w:customStyle="1" w:styleId="publication-date">
    <w:name w:val="publication-date"/>
    <w:basedOn w:val="Normal"/>
    <w:rsid w:val="00786308"/>
    <w:pPr>
      <w:spacing w:after="36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customStyle="1" w:styleId="date-display-single2">
    <w:name w:val="date-display-single2"/>
    <w:basedOn w:val="DefaultParagraphFont"/>
    <w:rsid w:val="00786308"/>
  </w:style>
  <w:style w:type="character" w:customStyle="1" w:styleId="correctChar">
    <w:name w:val="correct Char"/>
    <w:basedOn w:val="DefaultParagraphFont"/>
    <w:link w:val="correct"/>
    <w:locked/>
    <w:rsid w:val="008240FD"/>
    <w:rPr>
      <w:b/>
    </w:rPr>
  </w:style>
  <w:style w:type="paragraph" w:customStyle="1" w:styleId="correct">
    <w:name w:val="correct"/>
    <w:basedOn w:val="ListParagraph"/>
    <w:link w:val="correctChar"/>
    <w:qFormat/>
    <w:rsid w:val="008240FD"/>
    <w:pPr>
      <w:spacing w:after="0" w:line="240" w:lineRule="auto"/>
      <w:ind w:left="17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2786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7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audit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8A61-94CF-46D3-B0DA-85BD4137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2021-04-20T12:04:00Z</dcterms:created>
  <dcterms:modified xsi:type="dcterms:W3CDTF">2021-04-20T12:04:00Z</dcterms:modified>
</cp:coreProperties>
</file>